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8F7" w:rsidRDefault="004A58F7">
      <w:pPr>
        <w:rPr>
          <w:rFonts w:ascii="Shruti" w:hAnsi="Shruti" w:cs="Shruti"/>
          <w:sz w:val="22"/>
          <w:szCs w:val="22"/>
        </w:rPr>
      </w:pPr>
      <w:bookmarkStart w:id="0" w:name="_GoBack"/>
      <w:bookmarkEnd w:id="0"/>
      <w:r>
        <w:rPr>
          <w:rFonts w:ascii="Shruti" w:hAnsi="Shruti" w:cs="Shruti"/>
          <w:b/>
          <w:bCs/>
          <w:sz w:val="22"/>
          <w:szCs w:val="22"/>
        </w:rPr>
        <w:t>PLEASE NOTE:</w:t>
      </w:r>
    </w:p>
    <w:p w:rsidR="004A58F7" w:rsidRDefault="004A58F7">
      <w:pPr>
        <w:rPr>
          <w:rFonts w:ascii="Shruti" w:hAnsi="Shruti" w:cs="Shruti"/>
          <w:sz w:val="22"/>
          <w:szCs w:val="22"/>
        </w:rPr>
      </w:pPr>
    </w:p>
    <w:p w:rsidR="004A58F7" w:rsidRDefault="004A58F7">
      <w:pPr>
        <w:tabs>
          <w:tab w:val="left" w:pos="-1440"/>
        </w:tabs>
        <w:ind w:left="720" w:hanging="720"/>
        <w:rPr>
          <w:rFonts w:ascii="Shruti" w:hAnsi="Shruti" w:cs="Shruti"/>
          <w:sz w:val="22"/>
          <w:szCs w:val="22"/>
        </w:rPr>
      </w:pPr>
      <w:r>
        <w:rPr>
          <w:rFonts w:ascii="Shruti" w:hAnsi="Shruti" w:cs="Shruti"/>
          <w:sz w:val="22"/>
          <w:szCs w:val="22"/>
        </w:rPr>
        <w:t>1)</w:t>
      </w:r>
      <w:r>
        <w:rPr>
          <w:rFonts w:ascii="Shruti" w:hAnsi="Shruti" w:cs="Shruti"/>
          <w:sz w:val="22"/>
          <w:szCs w:val="22"/>
        </w:rPr>
        <w:tab/>
        <w:t xml:space="preserve">Throughout these instructions, the term </w:t>
      </w:r>
      <w:r>
        <w:rPr>
          <w:rFonts w:ascii="Shruti" w:hAnsi="Shruti" w:cs="Shruti"/>
          <w:sz w:val="22"/>
          <w:szCs w:val="22"/>
        </w:rPr>
        <w:sym w:font="WP TypographicSymbols" w:char="0041"/>
      </w:r>
      <w:r>
        <w:rPr>
          <w:rFonts w:ascii="Shruti" w:hAnsi="Shruti" w:cs="Shruti"/>
          <w:sz w:val="22"/>
          <w:szCs w:val="22"/>
        </w:rPr>
        <w:t>trial</w:t>
      </w:r>
      <w:r>
        <w:rPr>
          <w:rFonts w:ascii="Shruti" w:hAnsi="Shruti" w:cs="Shruti"/>
          <w:sz w:val="22"/>
          <w:szCs w:val="22"/>
        </w:rPr>
        <w:sym w:font="WP TypographicSymbols" w:char="0040"/>
      </w:r>
      <w:r>
        <w:rPr>
          <w:rFonts w:ascii="Shruti" w:hAnsi="Shruti" w:cs="Shruti"/>
          <w:sz w:val="22"/>
          <w:szCs w:val="22"/>
        </w:rPr>
        <w:t xml:space="preserve"> refers to commencement of the trailing docket. Therefore, all dates operate off of the current jury selection date or date upon which the trailing docket begins. </w:t>
      </w:r>
      <w:r>
        <w:rPr>
          <w:rFonts w:ascii="Shruti" w:hAnsi="Shruti" w:cs="Shruti"/>
          <w:b/>
          <w:bCs/>
          <w:sz w:val="22"/>
          <w:szCs w:val="22"/>
        </w:rPr>
        <w:t xml:space="preserve"> Counsel must seek leave of Court in the form of a written motion to extend any pretrial deadlines</w:t>
      </w:r>
      <w:r>
        <w:rPr>
          <w:rFonts w:ascii="Shruti" w:hAnsi="Shruti" w:cs="Shruti"/>
          <w:sz w:val="22"/>
          <w:szCs w:val="22"/>
        </w:rPr>
        <w:t>.</w:t>
      </w:r>
    </w:p>
    <w:p w:rsidR="004A58F7" w:rsidRDefault="004A58F7">
      <w:pPr>
        <w:rPr>
          <w:rFonts w:ascii="Shruti" w:hAnsi="Shruti" w:cs="Shruti"/>
          <w:sz w:val="22"/>
          <w:szCs w:val="22"/>
        </w:rPr>
      </w:pPr>
    </w:p>
    <w:p w:rsidR="004A58F7" w:rsidRDefault="004A58F7">
      <w:pPr>
        <w:tabs>
          <w:tab w:val="left" w:pos="-1440"/>
        </w:tabs>
        <w:ind w:left="720" w:hanging="720"/>
        <w:rPr>
          <w:rFonts w:ascii="Shruti" w:hAnsi="Shruti" w:cs="Shruti"/>
        </w:rPr>
      </w:pPr>
      <w:r>
        <w:rPr>
          <w:rFonts w:ascii="Shruti" w:hAnsi="Shruti" w:cs="Shruti"/>
          <w:sz w:val="22"/>
          <w:szCs w:val="22"/>
        </w:rPr>
        <w:t>2)</w:t>
      </w:r>
      <w:r>
        <w:rPr>
          <w:rFonts w:ascii="Shruti" w:hAnsi="Shruti" w:cs="Shruti"/>
          <w:sz w:val="22"/>
          <w:szCs w:val="22"/>
        </w:rPr>
        <w:tab/>
        <w:t>All deadlines herein are calculated in accordance with Rule 6 of the Federal Rules of Civil Procedure.  Where a submission deadline falls on a weekend or a federal holiday, the deadline will be the next working day after the weekend or holiday.</w:t>
      </w:r>
      <w:r>
        <w:rPr>
          <w:rFonts w:ascii="Shruti" w:hAnsi="Shruti" w:cs="Shruti"/>
        </w:rPr>
        <w:t xml:space="preserve"> </w:t>
      </w:r>
    </w:p>
    <w:p w:rsidR="004A58F7" w:rsidRDefault="004A58F7">
      <w:pPr>
        <w:rPr>
          <w:rFonts w:ascii="Arial" w:hAnsi="Arial" w:cs="Arial"/>
        </w:rPr>
      </w:pPr>
    </w:p>
    <w:tbl>
      <w:tblPr>
        <w:tblW w:w="10080" w:type="dxa"/>
        <w:tblInd w:w="-150" w:type="dxa"/>
        <w:tblLayout w:type="fixed"/>
        <w:tblCellMar>
          <w:left w:w="120" w:type="dxa"/>
          <w:right w:w="120" w:type="dxa"/>
        </w:tblCellMar>
        <w:tblLook w:val="0000" w:firstRow="0" w:lastRow="0" w:firstColumn="0" w:lastColumn="0" w:noHBand="0" w:noVBand="0"/>
      </w:tblPr>
      <w:tblGrid>
        <w:gridCol w:w="2970"/>
        <w:gridCol w:w="2970"/>
        <w:gridCol w:w="4140"/>
      </w:tblGrid>
      <w:tr w:rsidR="004A58F7" w:rsidTr="00252685">
        <w:trPr>
          <w:tblHeader/>
        </w:trPr>
        <w:tc>
          <w:tcPr>
            <w:tcW w:w="2970" w:type="dxa"/>
            <w:tcBorders>
              <w:top w:val="single" w:sz="7" w:space="0" w:color="000000"/>
              <w:left w:val="single" w:sz="7" w:space="0" w:color="000000"/>
              <w:bottom w:val="single" w:sz="7" w:space="0" w:color="000000"/>
              <w:right w:val="single" w:sz="7" w:space="0" w:color="000000"/>
            </w:tcBorders>
            <w:shd w:val="pct10" w:color="000000" w:fill="FFFFFF"/>
          </w:tcPr>
          <w:p w:rsidR="004A58F7" w:rsidRDefault="004A58F7">
            <w:pPr>
              <w:spacing w:line="120" w:lineRule="exact"/>
              <w:rPr>
                <w:rFonts w:ascii="Arial" w:hAnsi="Arial" w:cs="Arial"/>
              </w:rPr>
            </w:pPr>
          </w:p>
          <w:p w:rsidR="004A58F7" w:rsidRDefault="004A58F7">
            <w:pPr>
              <w:spacing w:after="58"/>
              <w:jc w:val="center"/>
              <w:rPr>
                <w:rFonts w:ascii="Arial" w:hAnsi="Arial" w:cs="Arial"/>
                <w:b/>
                <w:bCs/>
              </w:rPr>
            </w:pPr>
            <w:r>
              <w:rPr>
                <w:rFonts w:ascii="Arial" w:hAnsi="Arial" w:cs="Arial"/>
                <w:b/>
                <w:bCs/>
              </w:rPr>
              <w:t>EVENT</w:t>
            </w:r>
          </w:p>
        </w:tc>
        <w:tc>
          <w:tcPr>
            <w:tcW w:w="2970" w:type="dxa"/>
            <w:tcBorders>
              <w:top w:val="single" w:sz="7" w:space="0" w:color="000000"/>
              <w:left w:val="single" w:sz="7" w:space="0" w:color="000000"/>
              <w:bottom w:val="single" w:sz="7" w:space="0" w:color="000000"/>
              <w:right w:val="single" w:sz="7" w:space="0" w:color="000000"/>
            </w:tcBorders>
            <w:shd w:val="pct10" w:color="000000" w:fill="FFFFFF"/>
          </w:tcPr>
          <w:p w:rsidR="004A58F7" w:rsidRDefault="004A58F7">
            <w:pPr>
              <w:spacing w:line="120" w:lineRule="exact"/>
              <w:rPr>
                <w:rFonts w:ascii="Arial" w:hAnsi="Arial" w:cs="Arial"/>
                <w:b/>
                <w:bCs/>
              </w:rPr>
            </w:pPr>
          </w:p>
          <w:p w:rsidR="004A58F7" w:rsidRDefault="004A58F7">
            <w:pPr>
              <w:spacing w:after="58"/>
              <w:jc w:val="center"/>
              <w:rPr>
                <w:rFonts w:ascii="Arial" w:hAnsi="Arial" w:cs="Arial"/>
                <w:b/>
                <w:bCs/>
              </w:rPr>
            </w:pPr>
            <w:r>
              <w:rPr>
                <w:rFonts w:ascii="Arial" w:hAnsi="Arial" w:cs="Arial"/>
                <w:b/>
                <w:bCs/>
              </w:rPr>
              <w:t>DEADLINE</w:t>
            </w:r>
          </w:p>
        </w:tc>
        <w:tc>
          <w:tcPr>
            <w:tcW w:w="4140" w:type="dxa"/>
            <w:tcBorders>
              <w:top w:val="single" w:sz="7" w:space="0" w:color="000000"/>
              <w:left w:val="single" w:sz="7" w:space="0" w:color="000000"/>
              <w:bottom w:val="single" w:sz="7" w:space="0" w:color="000000"/>
              <w:right w:val="single" w:sz="7" w:space="0" w:color="000000"/>
            </w:tcBorders>
            <w:shd w:val="pct10" w:color="000000" w:fill="FFFFFF"/>
          </w:tcPr>
          <w:p w:rsidR="004A58F7" w:rsidRDefault="004A58F7">
            <w:pPr>
              <w:spacing w:line="120" w:lineRule="exact"/>
              <w:rPr>
                <w:rFonts w:ascii="Arial" w:hAnsi="Arial" w:cs="Arial"/>
                <w:b/>
                <w:bCs/>
              </w:rPr>
            </w:pPr>
          </w:p>
          <w:p w:rsidR="004A58F7" w:rsidRDefault="004A58F7">
            <w:pPr>
              <w:spacing w:after="58"/>
              <w:jc w:val="center"/>
              <w:rPr>
                <w:rFonts w:ascii="Arial" w:hAnsi="Arial" w:cs="Arial"/>
                <w:b/>
                <w:bCs/>
                <w:sz w:val="22"/>
                <w:szCs w:val="22"/>
              </w:rPr>
            </w:pPr>
            <w:r>
              <w:rPr>
                <w:rFonts w:ascii="Arial" w:hAnsi="Arial" w:cs="Arial"/>
                <w:b/>
                <w:bCs/>
              </w:rPr>
              <w:t>COMMENT</w:t>
            </w:r>
          </w:p>
        </w:tc>
      </w:tr>
      <w:tr w:rsidR="004A58F7" w:rsidTr="00252685">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b/>
                <w:bCs/>
                <w:sz w:val="22"/>
                <w:szCs w:val="22"/>
              </w:rPr>
            </w:pPr>
          </w:p>
          <w:p w:rsidR="004A58F7" w:rsidRDefault="004A58F7">
            <w:pPr>
              <w:rPr>
                <w:rFonts w:ascii="Arial" w:hAnsi="Arial" w:cs="Arial"/>
                <w:sz w:val="22"/>
                <w:szCs w:val="22"/>
              </w:rPr>
            </w:pPr>
            <w:r>
              <w:rPr>
                <w:rFonts w:ascii="Arial" w:hAnsi="Arial" w:cs="Arial"/>
                <w:sz w:val="22"/>
                <w:szCs w:val="22"/>
              </w:rPr>
              <w:t xml:space="preserve">Witness Identification </w:t>
            </w:r>
          </w:p>
          <w:p w:rsidR="004A58F7" w:rsidRDefault="004A58F7">
            <w:pPr>
              <w:spacing w:after="58"/>
              <w:rPr>
                <w:rFonts w:ascii="Arial" w:hAnsi="Arial" w:cs="Arial"/>
                <w:sz w:val="22"/>
                <w:szCs w:val="22"/>
              </w:rPr>
            </w:pPr>
          </w:p>
        </w:tc>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jc w:val="center"/>
              <w:rPr>
                <w:rFonts w:ascii="Arial" w:hAnsi="Arial" w:cs="Arial"/>
                <w:sz w:val="22"/>
                <w:szCs w:val="22"/>
              </w:rPr>
            </w:pPr>
            <w:r>
              <w:rPr>
                <w:rFonts w:ascii="Arial" w:hAnsi="Arial" w:cs="Arial"/>
                <w:sz w:val="22"/>
                <w:szCs w:val="22"/>
              </w:rPr>
              <w:t>Thirty (30) days before trial</w:t>
            </w:r>
          </w:p>
        </w:tc>
        <w:tc>
          <w:tcPr>
            <w:tcW w:w="414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jc w:val="both"/>
              <w:rPr>
                <w:rFonts w:ascii="Arial" w:hAnsi="Arial" w:cs="Arial"/>
                <w:sz w:val="22"/>
                <w:szCs w:val="22"/>
              </w:rPr>
            </w:pPr>
            <w:r>
              <w:rPr>
                <w:rFonts w:ascii="Arial" w:hAnsi="Arial" w:cs="Arial"/>
                <w:sz w:val="22"/>
                <w:szCs w:val="22"/>
              </w:rPr>
              <w:t>Witnesses shall be identified to all other parties no later than thirty (30)  days before trial and shall comply with this Court</w:t>
            </w:r>
            <w:r>
              <w:rPr>
                <w:rFonts w:ascii="Arial" w:hAnsi="Arial" w:cs="Arial"/>
                <w:sz w:val="22"/>
                <w:szCs w:val="22"/>
              </w:rPr>
              <w:sym w:font="WP TypographicSymbols" w:char="003D"/>
            </w:r>
            <w:r>
              <w:rPr>
                <w:rFonts w:ascii="Arial" w:hAnsi="Arial" w:cs="Arial"/>
                <w:sz w:val="22"/>
                <w:szCs w:val="22"/>
              </w:rPr>
              <w:t xml:space="preserve">s rules regarding witnesses as set forth in the attached document titled </w:t>
            </w:r>
            <w:r>
              <w:rPr>
                <w:rFonts w:ascii="Arial" w:hAnsi="Arial" w:cs="Arial"/>
                <w:sz w:val="22"/>
                <w:szCs w:val="22"/>
              </w:rPr>
              <w:sym w:font="WP TypographicSymbols" w:char="0041"/>
            </w:r>
            <w:r>
              <w:rPr>
                <w:rFonts w:ascii="Arial" w:hAnsi="Arial" w:cs="Arial"/>
                <w:sz w:val="22"/>
                <w:szCs w:val="22"/>
              </w:rPr>
              <w:t>Preparation for Civil Trials.</w:t>
            </w:r>
            <w:r>
              <w:rPr>
                <w:rFonts w:ascii="Arial" w:hAnsi="Arial" w:cs="Arial"/>
                <w:sz w:val="22"/>
                <w:szCs w:val="22"/>
              </w:rPr>
              <w:sym w:font="WP TypographicSymbols" w:char="0040"/>
            </w:r>
            <w:r>
              <w:rPr>
                <w:rFonts w:ascii="Arial" w:hAnsi="Arial" w:cs="Arial"/>
                <w:sz w:val="22"/>
                <w:szCs w:val="22"/>
              </w:rPr>
              <w:t xml:space="preserve"> </w:t>
            </w:r>
          </w:p>
        </w:tc>
      </w:tr>
      <w:tr w:rsidR="004A58F7" w:rsidTr="00252685">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rPr>
                <w:rFonts w:ascii="Arial" w:hAnsi="Arial" w:cs="Arial"/>
                <w:sz w:val="22"/>
                <w:szCs w:val="22"/>
              </w:rPr>
            </w:pPr>
            <w:r>
              <w:rPr>
                <w:rFonts w:ascii="Arial" w:hAnsi="Arial" w:cs="Arial"/>
                <w:sz w:val="22"/>
                <w:szCs w:val="22"/>
              </w:rPr>
              <w:t>Exchange of Exhibits</w:t>
            </w:r>
          </w:p>
          <w:p w:rsidR="004A58F7" w:rsidRDefault="004A58F7">
            <w:pPr>
              <w:spacing w:after="58"/>
              <w:rPr>
                <w:rFonts w:ascii="Arial" w:hAnsi="Arial" w:cs="Arial"/>
                <w:sz w:val="22"/>
                <w:szCs w:val="22"/>
              </w:rPr>
            </w:pPr>
          </w:p>
        </w:tc>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jc w:val="center"/>
              <w:rPr>
                <w:rFonts w:ascii="Arial" w:hAnsi="Arial" w:cs="Arial"/>
                <w:sz w:val="22"/>
                <w:szCs w:val="22"/>
              </w:rPr>
            </w:pPr>
            <w:r>
              <w:rPr>
                <w:rFonts w:ascii="Arial" w:hAnsi="Arial" w:cs="Arial"/>
                <w:sz w:val="22"/>
                <w:szCs w:val="22"/>
              </w:rPr>
              <w:t>Thirty (30) days before trial</w:t>
            </w:r>
          </w:p>
        </w:tc>
        <w:tc>
          <w:tcPr>
            <w:tcW w:w="414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jc w:val="both"/>
              <w:rPr>
                <w:rFonts w:ascii="Arial" w:hAnsi="Arial" w:cs="Arial"/>
                <w:sz w:val="22"/>
                <w:szCs w:val="22"/>
              </w:rPr>
            </w:pPr>
            <w:r>
              <w:rPr>
                <w:rFonts w:ascii="Arial" w:hAnsi="Arial" w:cs="Arial"/>
                <w:sz w:val="22"/>
                <w:szCs w:val="22"/>
              </w:rPr>
              <w:t>The parties shall exchange exhibits no later than thirty (30) days before trial.  The exhibits shall be marked and identified prior to trial, with the plaintiff</w:t>
            </w:r>
            <w:r>
              <w:rPr>
                <w:rFonts w:ascii="Arial" w:hAnsi="Arial" w:cs="Arial"/>
                <w:sz w:val="22"/>
                <w:szCs w:val="22"/>
              </w:rPr>
              <w:sym w:font="WP TypographicSymbols" w:char="003D"/>
            </w:r>
            <w:r>
              <w:rPr>
                <w:rFonts w:ascii="Arial" w:hAnsi="Arial" w:cs="Arial"/>
                <w:sz w:val="22"/>
                <w:szCs w:val="22"/>
              </w:rPr>
              <w:t>s exhibits identified on yellow labels by number and the defendant</w:t>
            </w:r>
            <w:r>
              <w:rPr>
                <w:rFonts w:ascii="Arial" w:hAnsi="Arial" w:cs="Arial"/>
                <w:sz w:val="22"/>
                <w:szCs w:val="22"/>
              </w:rPr>
              <w:sym w:font="WP TypographicSymbols" w:char="003D"/>
            </w:r>
            <w:r>
              <w:rPr>
                <w:rFonts w:ascii="Arial" w:hAnsi="Arial" w:cs="Arial"/>
                <w:sz w:val="22"/>
                <w:szCs w:val="22"/>
              </w:rPr>
              <w:t>s  exhibits identified on blue labels by letter.</w:t>
            </w:r>
          </w:p>
        </w:tc>
      </w:tr>
      <w:tr w:rsidR="004A58F7" w:rsidTr="00252685">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rPr>
                <w:rFonts w:ascii="Arial" w:hAnsi="Arial" w:cs="Arial"/>
                <w:sz w:val="22"/>
                <w:szCs w:val="22"/>
              </w:rPr>
            </w:pPr>
            <w:r>
              <w:rPr>
                <w:rFonts w:ascii="Arial" w:hAnsi="Arial" w:cs="Arial"/>
                <w:sz w:val="22"/>
                <w:szCs w:val="22"/>
              </w:rPr>
              <w:t>Objections to Exhibits</w:t>
            </w:r>
          </w:p>
          <w:p w:rsidR="004A58F7" w:rsidRDefault="004A58F7">
            <w:pPr>
              <w:rPr>
                <w:rFonts w:ascii="Arial" w:hAnsi="Arial" w:cs="Arial"/>
                <w:sz w:val="22"/>
                <w:szCs w:val="22"/>
              </w:rPr>
            </w:pPr>
          </w:p>
          <w:p w:rsidR="004A58F7" w:rsidRDefault="004A58F7">
            <w:pPr>
              <w:rPr>
                <w:rFonts w:ascii="Arial" w:hAnsi="Arial" w:cs="Arial"/>
                <w:sz w:val="22"/>
                <w:szCs w:val="22"/>
              </w:rPr>
            </w:pPr>
          </w:p>
          <w:p w:rsidR="004A58F7" w:rsidRDefault="004A58F7">
            <w:pPr>
              <w:rPr>
                <w:rFonts w:ascii="Arial" w:hAnsi="Arial" w:cs="Arial"/>
                <w:sz w:val="22"/>
                <w:szCs w:val="22"/>
              </w:rPr>
            </w:pPr>
          </w:p>
          <w:p w:rsidR="004A58F7" w:rsidRDefault="004A58F7">
            <w:pPr>
              <w:rPr>
                <w:rFonts w:ascii="Arial" w:hAnsi="Arial" w:cs="Arial"/>
                <w:sz w:val="22"/>
                <w:szCs w:val="22"/>
              </w:rPr>
            </w:pPr>
          </w:p>
          <w:p w:rsidR="004A58F7" w:rsidRDefault="004A58F7">
            <w:pPr>
              <w:spacing w:after="58"/>
              <w:rPr>
                <w:rFonts w:ascii="Arial" w:hAnsi="Arial" w:cs="Arial"/>
                <w:sz w:val="22"/>
                <w:szCs w:val="22"/>
              </w:rPr>
            </w:pPr>
          </w:p>
        </w:tc>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jc w:val="center"/>
              <w:rPr>
                <w:rFonts w:ascii="Arial" w:hAnsi="Arial" w:cs="Arial"/>
                <w:sz w:val="22"/>
                <w:szCs w:val="22"/>
              </w:rPr>
            </w:pPr>
            <w:r>
              <w:rPr>
                <w:rFonts w:ascii="Arial" w:hAnsi="Arial" w:cs="Arial"/>
                <w:sz w:val="22"/>
                <w:szCs w:val="22"/>
              </w:rPr>
              <w:t>Twenty-five (25) days</w:t>
            </w:r>
          </w:p>
          <w:p w:rsidR="004A58F7" w:rsidRDefault="004A58F7">
            <w:pPr>
              <w:spacing w:after="58"/>
              <w:jc w:val="center"/>
              <w:rPr>
                <w:rFonts w:ascii="Arial" w:hAnsi="Arial" w:cs="Arial"/>
                <w:sz w:val="22"/>
                <w:szCs w:val="22"/>
              </w:rPr>
            </w:pPr>
            <w:r>
              <w:rPr>
                <w:rFonts w:ascii="Arial" w:hAnsi="Arial" w:cs="Arial"/>
                <w:sz w:val="22"/>
                <w:szCs w:val="22"/>
              </w:rPr>
              <w:t>before trial</w:t>
            </w:r>
          </w:p>
        </w:tc>
        <w:tc>
          <w:tcPr>
            <w:tcW w:w="414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jc w:val="both"/>
              <w:rPr>
                <w:rFonts w:ascii="Arial" w:hAnsi="Arial" w:cs="Arial"/>
                <w:sz w:val="22"/>
                <w:szCs w:val="22"/>
              </w:rPr>
            </w:pPr>
            <w:r>
              <w:rPr>
                <w:rFonts w:ascii="Arial" w:hAnsi="Arial" w:cs="Arial"/>
                <w:sz w:val="22"/>
                <w:szCs w:val="22"/>
              </w:rPr>
              <w:t>The parties shall file objections to exhibits as follows:  1) identify the exhibit by number or letter; 2) attach a copy of the exhibit, or alternatively, if the exhibit is physical, attach a photograph and/or complete description of the exhibit; and 3) specify the Rule of Evidence or other legal authority upon which the objection is based.  In most cases, the Court will consider objections and admit exhibits  prior to trial.</w:t>
            </w:r>
          </w:p>
        </w:tc>
      </w:tr>
    </w:tbl>
    <w:p w:rsidR="00252685" w:rsidRDefault="00252685">
      <w:r>
        <w:br w:type="page"/>
      </w:r>
    </w:p>
    <w:tbl>
      <w:tblPr>
        <w:tblW w:w="10080" w:type="dxa"/>
        <w:tblInd w:w="-150" w:type="dxa"/>
        <w:tblLayout w:type="fixed"/>
        <w:tblCellMar>
          <w:left w:w="120" w:type="dxa"/>
          <w:right w:w="120" w:type="dxa"/>
        </w:tblCellMar>
        <w:tblLook w:val="0000" w:firstRow="0" w:lastRow="0" w:firstColumn="0" w:lastColumn="0" w:noHBand="0" w:noVBand="0"/>
      </w:tblPr>
      <w:tblGrid>
        <w:gridCol w:w="2970"/>
        <w:gridCol w:w="2970"/>
        <w:gridCol w:w="4140"/>
      </w:tblGrid>
      <w:tr w:rsidR="00252685" w:rsidTr="00C642BF">
        <w:trPr>
          <w:tblHeader/>
        </w:trPr>
        <w:tc>
          <w:tcPr>
            <w:tcW w:w="2970" w:type="dxa"/>
            <w:tcBorders>
              <w:top w:val="single" w:sz="7" w:space="0" w:color="000000"/>
              <w:left w:val="single" w:sz="7" w:space="0" w:color="000000"/>
              <w:bottom w:val="single" w:sz="7" w:space="0" w:color="000000"/>
              <w:right w:val="single" w:sz="7" w:space="0" w:color="000000"/>
            </w:tcBorders>
            <w:shd w:val="pct10" w:color="000000" w:fill="FFFFFF"/>
          </w:tcPr>
          <w:p w:rsidR="00252685" w:rsidRDefault="00252685" w:rsidP="00C642BF">
            <w:pPr>
              <w:spacing w:line="120" w:lineRule="exact"/>
              <w:rPr>
                <w:rFonts w:ascii="Arial" w:hAnsi="Arial" w:cs="Arial"/>
              </w:rPr>
            </w:pPr>
          </w:p>
          <w:p w:rsidR="00252685" w:rsidRDefault="00252685" w:rsidP="00C642BF">
            <w:pPr>
              <w:spacing w:after="58"/>
              <w:jc w:val="center"/>
              <w:rPr>
                <w:rFonts w:ascii="Arial" w:hAnsi="Arial" w:cs="Arial"/>
                <w:b/>
                <w:bCs/>
              </w:rPr>
            </w:pPr>
            <w:r>
              <w:rPr>
                <w:rFonts w:ascii="Arial" w:hAnsi="Arial" w:cs="Arial"/>
                <w:b/>
                <w:bCs/>
              </w:rPr>
              <w:t>EVENT</w:t>
            </w:r>
          </w:p>
        </w:tc>
        <w:tc>
          <w:tcPr>
            <w:tcW w:w="2970" w:type="dxa"/>
            <w:tcBorders>
              <w:top w:val="single" w:sz="7" w:space="0" w:color="000000"/>
              <w:left w:val="single" w:sz="7" w:space="0" w:color="000000"/>
              <w:bottom w:val="single" w:sz="7" w:space="0" w:color="000000"/>
              <w:right w:val="single" w:sz="7" w:space="0" w:color="000000"/>
            </w:tcBorders>
            <w:shd w:val="pct10" w:color="000000" w:fill="FFFFFF"/>
          </w:tcPr>
          <w:p w:rsidR="00252685" w:rsidRDefault="00252685" w:rsidP="00C642BF">
            <w:pPr>
              <w:spacing w:line="120" w:lineRule="exact"/>
              <w:rPr>
                <w:rFonts w:ascii="Arial" w:hAnsi="Arial" w:cs="Arial"/>
                <w:b/>
                <w:bCs/>
              </w:rPr>
            </w:pPr>
          </w:p>
          <w:p w:rsidR="00252685" w:rsidRDefault="00252685" w:rsidP="00C642BF">
            <w:pPr>
              <w:spacing w:after="58"/>
              <w:jc w:val="center"/>
              <w:rPr>
                <w:rFonts w:ascii="Arial" w:hAnsi="Arial" w:cs="Arial"/>
                <w:b/>
                <w:bCs/>
              </w:rPr>
            </w:pPr>
            <w:r>
              <w:rPr>
                <w:rFonts w:ascii="Arial" w:hAnsi="Arial" w:cs="Arial"/>
                <w:b/>
                <w:bCs/>
              </w:rPr>
              <w:t>DEADLINE</w:t>
            </w:r>
          </w:p>
        </w:tc>
        <w:tc>
          <w:tcPr>
            <w:tcW w:w="4140" w:type="dxa"/>
            <w:tcBorders>
              <w:top w:val="single" w:sz="7" w:space="0" w:color="000000"/>
              <w:left w:val="single" w:sz="7" w:space="0" w:color="000000"/>
              <w:bottom w:val="single" w:sz="7" w:space="0" w:color="000000"/>
              <w:right w:val="single" w:sz="7" w:space="0" w:color="000000"/>
            </w:tcBorders>
            <w:shd w:val="pct10" w:color="000000" w:fill="FFFFFF"/>
          </w:tcPr>
          <w:p w:rsidR="00252685" w:rsidRDefault="00252685" w:rsidP="00C642BF">
            <w:pPr>
              <w:spacing w:line="120" w:lineRule="exact"/>
              <w:rPr>
                <w:rFonts w:ascii="Arial" w:hAnsi="Arial" w:cs="Arial"/>
                <w:b/>
                <w:bCs/>
              </w:rPr>
            </w:pPr>
          </w:p>
          <w:p w:rsidR="00252685" w:rsidRDefault="00252685" w:rsidP="00C642BF">
            <w:pPr>
              <w:spacing w:after="58"/>
              <w:jc w:val="center"/>
              <w:rPr>
                <w:rFonts w:ascii="Arial" w:hAnsi="Arial" w:cs="Arial"/>
                <w:b/>
                <w:bCs/>
                <w:sz w:val="22"/>
                <w:szCs w:val="22"/>
              </w:rPr>
            </w:pPr>
            <w:r>
              <w:rPr>
                <w:rFonts w:ascii="Arial" w:hAnsi="Arial" w:cs="Arial"/>
                <w:b/>
                <w:bCs/>
              </w:rPr>
              <w:t>COMMENT</w:t>
            </w:r>
          </w:p>
        </w:tc>
      </w:tr>
      <w:tr w:rsidR="00252685" w:rsidTr="00C642BF">
        <w:tc>
          <w:tcPr>
            <w:tcW w:w="2970" w:type="dxa"/>
            <w:tcBorders>
              <w:top w:val="single" w:sz="7" w:space="0" w:color="000000"/>
              <w:left w:val="single" w:sz="7" w:space="0" w:color="000000"/>
              <w:bottom w:val="single" w:sz="7" w:space="0" w:color="000000"/>
              <w:right w:val="single" w:sz="7" w:space="0" w:color="000000"/>
            </w:tcBorders>
          </w:tcPr>
          <w:p w:rsidR="00252685" w:rsidRDefault="00252685" w:rsidP="00C642BF">
            <w:pPr>
              <w:spacing w:line="120" w:lineRule="exact"/>
              <w:rPr>
                <w:rFonts w:ascii="Arial" w:hAnsi="Arial" w:cs="Arial"/>
                <w:sz w:val="22"/>
                <w:szCs w:val="22"/>
              </w:rPr>
            </w:pPr>
          </w:p>
          <w:p w:rsidR="00252685" w:rsidRDefault="00252685" w:rsidP="00C642BF">
            <w:pPr>
              <w:spacing w:after="58"/>
              <w:rPr>
                <w:rFonts w:ascii="Arial" w:hAnsi="Arial" w:cs="Arial"/>
                <w:sz w:val="22"/>
                <w:szCs w:val="22"/>
              </w:rPr>
            </w:pPr>
            <w:r>
              <w:rPr>
                <w:rFonts w:ascii="Arial" w:hAnsi="Arial" w:cs="Arial"/>
                <w:sz w:val="22"/>
                <w:szCs w:val="22"/>
              </w:rPr>
              <w:t>Consolidated Witness List</w:t>
            </w:r>
          </w:p>
        </w:tc>
        <w:tc>
          <w:tcPr>
            <w:tcW w:w="2970" w:type="dxa"/>
            <w:tcBorders>
              <w:top w:val="single" w:sz="7" w:space="0" w:color="000000"/>
              <w:left w:val="single" w:sz="7" w:space="0" w:color="000000"/>
              <w:bottom w:val="single" w:sz="7" w:space="0" w:color="000000"/>
              <w:right w:val="single" w:sz="7" w:space="0" w:color="000000"/>
            </w:tcBorders>
          </w:tcPr>
          <w:p w:rsidR="00252685" w:rsidRDefault="00252685" w:rsidP="00C642BF">
            <w:pPr>
              <w:spacing w:line="120" w:lineRule="exact"/>
              <w:rPr>
                <w:rFonts w:ascii="Arial" w:hAnsi="Arial" w:cs="Arial"/>
                <w:sz w:val="22"/>
                <w:szCs w:val="22"/>
              </w:rPr>
            </w:pPr>
          </w:p>
          <w:p w:rsidR="00252685" w:rsidRDefault="00252685" w:rsidP="00C642BF">
            <w:pPr>
              <w:jc w:val="center"/>
              <w:rPr>
                <w:rFonts w:ascii="Arial" w:hAnsi="Arial" w:cs="Arial"/>
                <w:sz w:val="22"/>
                <w:szCs w:val="22"/>
              </w:rPr>
            </w:pPr>
            <w:r>
              <w:rPr>
                <w:rFonts w:ascii="Arial" w:hAnsi="Arial" w:cs="Arial"/>
                <w:sz w:val="22"/>
                <w:szCs w:val="22"/>
              </w:rPr>
              <w:t xml:space="preserve">Twenty-one (21) days </w:t>
            </w:r>
          </w:p>
          <w:p w:rsidR="00252685" w:rsidRDefault="00252685" w:rsidP="00C642BF">
            <w:pPr>
              <w:spacing w:after="58"/>
              <w:jc w:val="center"/>
              <w:rPr>
                <w:rFonts w:ascii="Arial" w:hAnsi="Arial" w:cs="Arial"/>
                <w:sz w:val="22"/>
                <w:szCs w:val="22"/>
              </w:rPr>
            </w:pPr>
            <w:r>
              <w:rPr>
                <w:rFonts w:ascii="Arial" w:hAnsi="Arial" w:cs="Arial"/>
                <w:sz w:val="22"/>
                <w:szCs w:val="22"/>
              </w:rPr>
              <w:t>before trial</w:t>
            </w:r>
          </w:p>
        </w:tc>
        <w:tc>
          <w:tcPr>
            <w:tcW w:w="4140" w:type="dxa"/>
            <w:tcBorders>
              <w:top w:val="single" w:sz="7" w:space="0" w:color="000000"/>
              <w:left w:val="single" w:sz="7" w:space="0" w:color="000000"/>
              <w:bottom w:val="single" w:sz="7" w:space="0" w:color="000000"/>
              <w:right w:val="single" w:sz="7" w:space="0" w:color="000000"/>
            </w:tcBorders>
          </w:tcPr>
          <w:p w:rsidR="00252685" w:rsidRDefault="00252685" w:rsidP="00C642BF">
            <w:pPr>
              <w:spacing w:line="120" w:lineRule="exact"/>
              <w:rPr>
                <w:rFonts w:ascii="Arial" w:hAnsi="Arial" w:cs="Arial"/>
                <w:sz w:val="22"/>
                <w:szCs w:val="22"/>
              </w:rPr>
            </w:pPr>
          </w:p>
          <w:p w:rsidR="00252685" w:rsidRDefault="00252685" w:rsidP="00C642BF">
            <w:pPr>
              <w:spacing w:after="58"/>
              <w:jc w:val="both"/>
              <w:rPr>
                <w:rFonts w:ascii="Arial" w:hAnsi="Arial" w:cs="Arial"/>
                <w:sz w:val="22"/>
                <w:szCs w:val="22"/>
              </w:rPr>
            </w:pPr>
            <w:r>
              <w:rPr>
                <w:rFonts w:ascii="Arial" w:hAnsi="Arial" w:cs="Arial"/>
                <w:sz w:val="22"/>
                <w:szCs w:val="22"/>
              </w:rPr>
              <w:t>The parties shall jointly file a consolidated list of witnesses to be called at trial, which includes: 1) the name of the witness; 2) his or her title and relevance to the case; 3) a brief summary of the witness</w:t>
            </w:r>
            <w:r>
              <w:rPr>
                <w:rFonts w:ascii="Arial" w:hAnsi="Arial" w:cs="Arial"/>
                <w:sz w:val="22"/>
                <w:szCs w:val="22"/>
              </w:rPr>
              <w:sym w:font="WP TypographicSymbols" w:char="003D"/>
            </w:r>
            <w:r>
              <w:rPr>
                <w:rFonts w:ascii="Arial" w:hAnsi="Arial" w:cs="Arial"/>
                <w:sz w:val="22"/>
                <w:szCs w:val="22"/>
              </w:rPr>
              <w:t>s anticipated testimony; and 4) an estimate of the time necessary for counsel for all parties to examine the witness.  The order of the witnesses is not binding.  However, known  witnesses not included in the Consolidated Witness List will not be allowed to testify.</w:t>
            </w:r>
          </w:p>
        </w:tc>
      </w:tr>
      <w:tr w:rsidR="004A58F7" w:rsidTr="00252685">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jc w:val="both"/>
              <w:rPr>
                <w:rFonts w:ascii="Arial" w:hAnsi="Arial" w:cs="Arial"/>
                <w:sz w:val="22"/>
                <w:szCs w:val="22"/>
              </w:rPr>
            </w:pPr>
            <w:r>
              <w:rPr>
                <w:rFonts w:ascii="Arial" w:hAnsi="Arial" w:cs="Arial"/>
                <w:sz w:val="22"/>
                <w:szCs w:val="22"/>
              </w:rPr>
              <w:t xml:space="preserve">Consolidated Exhibit List </w:t>
            </w:r>
          </w:p>
        </w:tc>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jc w:val="center"/>
              <w:rPr>
                <w:rFonts w:ascii="Arial" w:hAnsi="Arial" w:cs="Arial"/>
                <w:sz w:val="22"/>
                <w:szCs w:val="22"/>
              </w:rPr>
            </w:pPr>
            <w:r>
              <w:rPr>
                <w:rFonts w:ascii="Arial" w:hAnsi="Arial" w:cs="Arial"/>
                <w:sz w:val="22"/>
                <w:szCs w:val="22"/>
              </w:rPr>
              <w:t xml:space="preserve">Twenty-one (21) days </w:t>
            </w:r>
          </w:p>
          <w:p w:rsidR="004A58F7" w:rsidRDefault="004A58F7">
            <w:pPr>
              <w:spacing w:after="58"/>
              <w:jc w:val="center"/>
              <w:rPr>
                <w:rFonts w:ascii="Arial" w:hAnsi="Arial" w:cs="Arial"/>
                <w:sz w:val="22"/>
                <w:szCs w:val="22"/>
              </w:rPr>
            </w:pPr>
            <w:r>
              <w:rPr>
                <w:rFonts w:ascii="Arial" w:hAnsi="Arial" w:cs="Arial"/>
                <w:sz w:val="22"/>
                <w:szCs w:val="22"/>
              </w:rPr>
              <w:t>before trial</w:t>
            </w:r>
          </w:p>
        </w:tc>
        <w:tc>
          <w:tcPr>
            <w:tcW w:w="414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jc w:val="both"/>
              <w:rPr>
                <w:rFonts w:ascii="Arial" w:hAnsi="Arial" w:cs="Arial"/>
                <w:sz w:val="22"/>
                <w:szCs w:val="22"/>
              </w:rPr>
            </w:pPr>
            <w:r>
              <w:rPr>
                <w:rFonts w:ascii="Arial" w:hAnsi="Arial" w:cs="Arial"/>
                <w:sz w:val="22"/>
                <w:szCs w:val="22"/>
              </w:rPr>
              <w:t xml:space="preserve">The parties shall jointly file a consolidated exhibit list as follows: 1) identify all exhibits the parties have stipulated to being admissible; 2) identify all exhibits the parties have stipulated to being authentic, but to which there are other objections with the objection stated; and 3) identify all contested exhibits on which the parties could not reach a stipulation. </w:t>
            </w:r>
            <w:r w:rsidR="007C1D19">
              <w:rPr>
                <w:rFonts w:ascii="Arial" w:hAnsi="Arial" w:cs="Arial"/>
                <w:sz w:val="22"/>
                <w:szCs w:val="22"/>
              </w:rPr>
              <w:t xml:space="preserve">  </w:t>
            </w:r>
            <w:r>
              <w:rPr>
                <w:rFonts w:ascii="Arial" w:hAnsi="Arial" w:cs="Arial"/>
                <w:sz w:val="22"/>
                <w:szCs w:val="22"/>
              </w:rPr>
              <w:t>Additionally, the parties shall email a copy of the Consolidated Exhibit List to:</w:t>
            </w:r>
          </w:p>
          <w:p w:rsidR="004A58F7" w:rsidRDefault="004A58F7" w:rsidP="00176EBC">
            <w:pPr>
              <w:spacing w:after="58"/>
              <w:jc w:val="both"/>
              <w:rPr>
                <w:rFonts w:ascii="Arial" w:hAnsi="Arial" w:cs="Arial"/>
                <w:sz w:val="22"/>
                <w:szCs w:val="22"/>
              </w:rPr>
            </w:pPr>
            <w:r>
              <w:rPr>
                <w:rStyle w:val="Hypertext"/>
                <w:rFonts w:ascii="Arial" w:hAnsi="Arial" w:cs="Arial"/>
                <w:sz w:val="22"/>
                <w:szCs w:val="22"/>
              </w:rPr>
              <w:t>vazquezchambers@nmcourt.fed.us</w:t>
            </w:r>
            <w:r>
              <w:rPr>
                <w:rFonts w:ascii="Arial" w:hAnsi="Arial" w:cs="Arial"/>
                <w:sz w:val="22"/>
                <w:szCs w:val="22"/>
              </w:rPr>
              <w:t xml:space="preserve"> in a format compatible with </w:t>
            </w:r>
            <w:r w:rsidR="00176EBC">
              <w:rPr>
                <w:rFonts w:ascii="Arial" w:hAnsi="Arial" w:cs="Arial"/>
                <w:sz w:val="22"/>
                <w:szCs w:val="22"/>
              </w:rPr>
              <w:t>Microsoft Word 2010.</w:t>
            </w:r>
          </w:p>
        </w:tc>
      </w:tr>
      <w:tr w:rsidR="004A58F7" w:rsidTr="00252685">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jc w:val="both"/>
              <w:rPr>
                <w:rFonts w:ascii="Arial" w:hAnsi="Arial" w:cs="Arial"/>
                <w:sz w:val="22"/>
                <w:szCs w:val="22"/>
              </w:rPr>
            </w:pPr>
            <w:r>
              <w:rPr>
                <w:rFonts w:ascii="Arial" w:hAnsi="Arial" w:cs="Arial"/>
                <w:sz w:val="22"/>
                <w:szCs w:val="22"/>
              </w:rPr>
              <w:t xml:space="preserve">Motions in </w:t>
            </w:r>
            <w:r>
              <w:rPr>
                <w:rFonts w:ascii="Arial" w:hAnsi="Arial" w:cs="Arial"/>
                <w:i/>
                <w:iCs/>
                <w:sz w:val="22"/>
                <w:szCs w:val="22"/>
              </w:rPr>
              <w:t>Limine</w:t>
            </w:r>
          </w:p>
        </w:tc>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jc w:val="center"/>
              <w:rPr>
                <w:rFonts w:ascii="Arial" w:hAnsi="Arial" w:cs="Arial"/>
                <w:sz w:val="22"/>
                <w:szCs w:val="22"/>
              </w:rPr>
            </w:pPr>
            <w:r>
              <w:rPr>
                <w:rFonts w:ascii="Arial" w:hAnsi="Arial" w:cs="Arial"/>
                <w:sz w:val="22"/>
                <w:szCs w:val="22"/>
              </w:rPr>
              <w:t>Thirty (30) days before trial</w:t>
            </w:r>
          </w:p>
        </w:tc>
        <w:tc>
          <w:tcPr>
            <w:tcW w:w="4140" w:type="dxa"/>
            <w:vMerge w:val="restart"/>
            <w:tcBorders>
              <w:top w:val="single" w:sz="7" w:space="0" w:color="000000"/>
              <w:left w:val="single" w:sz="7" w:space="0" w:color="000000"/>
              <w:bottom w:val="nil"/>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jc w:val="both"/>
              <w:rPr>
                <w:rFonts w:ascii="Arial" w:hAnsi="Arial" w:cs="Arial"/>
                <w:sz w:val="22"/>
                <w:szCs w:val="22"/>
              </w:rPr>
            </w:pPr>
            <w:r>
              <w:rPr>
                <w:rFonts w:ascii="Arial" w:hAnsi="Arial" w:cs="Arial"/>
                <w:sz w:val="22"/>
                <w:szCs w:val="22"/>
              </w:rPr>
              <w:t xml:space="preserve">These deadlines do not include </w:t>
            </w:r>
            <w:r>
              <w:rPr>
                <w:rFonts w:ascii="Arial" w:hAnsi="Arial" w:cs="Arial"/>
                <w:i/>
                <w:iCs/>
                <w:sz w:val="22"/>
                <w:szCs w:val="22"/>
              </w:rPr>
              <w:t>Daubert</w:t>
            </w:r>
            <w:r>
              <w:rPr>
                <w:rFonts w:ascii="Arial" w:hAnsi="Arial" w:cs="Arial"/>
                <w:sz w:val="22"/>
                <w:szCs w:val="22"/>
              </w:rPr>
              <w:t xml:space="preserve"> motions. Challenges pursuant to </w:t>
            </w:r>
            <w:r>
              <w:rPr>
                <w:rFonts w:ascii="Arial" w:hAnsi="Arial" w:cs="Arial"/>
                <w:i/>
                <w:iCs/>
                <w:sz w:val="22"/>
                <w:szCs w:val="22"/>
              </w:rPr>
              <w:t>Daubert</w:t>
            </w:r>
            <w:r>
              <w:rPr>
                <w:rFonts w:ascii="Arial" w:hAnsi="Arial" w:cs="Arial"/>
                <w:sz w:val="22"/>
                <w:szCs w:val="22"/>
              </w:rPr>
              <w:t xml:space="preserve"> shall be made by the dispositive motions deadline as set forth in the scheduling order.</w:t>
            </w:r>
          </w:p>
        </w:tc>
      </w:tr>
      <w:tr w:rsidR="004A58F7" w:rsidTr="00252685">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jc w:val="both"/>
              <w:rPr>
                <w:rFonts w:ascii="Arial" w:hAnsi="Arial" w:cs="Arial"/>
                <w:sz w:val="22"/>
                <w:szCs w:val="22"/>
              </w:rPr>
            </w:pPr>
            <w:r>
              <w:rPr>
                <w:rFonts w:ascii="Arial" w:hAnsi="Arial" w:cs="Arial"/>
                <w:sz w:val="22"/>
                <w:szCs w:val="22"/>
              </w:rPr>
              <w:t xml:space="preserve">Responses to Motions in </w:t>
            </w:r>
            <w:r>
              <w:rPr>
                <w:rFonts w:ascii="Arial" w:hAnsi="Arial" w:cs="Arial"/>
                <w:i/>
                <w:iCs/>
                <w:sz w:val="22"/>
                <w:szCs w:val="22"/>
              </w:rPr>
              <w:t>Limine</w:t>
            </w:r>
          </w:p>
        </w:tc>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jc w:val="center"/>
              <w:rPr>
                <w:rFonts w:ascii="Arial" w:hAnsi="Arial" w:cs="Arial"/>
                <w:sz w:val="22"/>
                <w:szCs w:val="22"/>
              </w:rPr>
            </w:pPr>
            <w:r>
              <w:rPr>
                <w:rFonts w:ascii="Arial" w:hAnsi="Arial" w:cs="Arial"/>
                <w:sz w:val="22"/>
                <w:szCs w:val="22"/>
              </w:rPr>
              <w:t xml:space="preserve">Twenty-five (25)  days </w:t>
            </w:r>
          </w:p>
          <w:p w:rsidR="004A58F7" w:rsidRDefault="004A58F7">
            <w:pPr>
              <w:spacing w:after="58"/>
              <w:jc w:val="center"/>
              <w:rPr>
                <w:rFonts w:ascii="Arial" w:hAnsi="Arial" w:cs="Arial"/>
                <w:sz w:val="22"/>
                <w:szCs w:val="22"/>
              </w:rPr>
            </w:pPr>
            <w:r>
              <w:rPr>
                <w:rFonts w:ascii="Arial" w:hAnsi="Arial" w:cs="Arial"/>
                <w:sz w:val="22"/>
                <w:szCs w:val="22"/>
              </w:rPr>
              <w:t>before trial</w:t>
            </w:r>
          </w:p>
        </w:tc>
        <w:tc>
          <w:tcPr>
            <w:tcW w:w="4140" w:type="dxa"/>
            <w:vMerge/>
            <w:tcBorders>
              <w:top w:val="nil"/>
              <w:left w:val="single" w:sz="7" w:space="0" w:color="000000"/>
              <w:bottom w:val="nil"/>
              <w:right w:val="single" w:sz="7" w:space="0" w:color="000000"/>
            </w:tcBorders>
          </w:tcPr>
          <w:p w:rsidR="004A58F7" w:rsidRDefault="004A58F7">
            <w:pPr>
              <w:spacing w:after="58"/>
              <w:rPr>
                <w:rFonts w:ascii="Arial" w:hAnsi="Arial" w:cs="Arial"/>
                <w:sz w:val="22"/>
                <w:szCs w:val="22"/>
              </w:rPr>
            </w:pPr>
          </w:p>
        </w:tc>
      </w:tr>
      <w:tr w:rsidR="004A58F7" w:rsidTr="00252685">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jc w:val="both"/>
              <w:rPr>
                <w:rFonts w:ascii="Arial" w:hAnsi="Arial" w:cs="Arial"/>
                <w:sz w:val="22"/>
                <w:szCs w:val="22"/>
              </w:rPr>
            </w:pPr>
            <w:r>
              <w:rPr>
                <w:rFonts w:ascii="Arial" w:hAnsi="Arial" w:cs="Arial"/>
                <w:sz w:val="22"/>
                <w:szCs w:val="22"/>
              </w:rPr>
              <w:t xml:space="preserve">Replies to Motions in </w:t>
            </w:r>
            <w:r>
              <w:rPr>
                <w:rFonts w:ascii="Arial" w:hAnsi="Arial" w:cs="Arial"/>
                <w:i/>
                <w:iCs/>
                <w:sz w:val="22"/>
                <w:szCs w:val="22"/>
              </w:rPr>
              <w:t>Limine</w:t>
            </w:r>
            <w:r>
              <w:rPr>
                <w:rFonts w:ascii="Arial" w:hAnsi="Arial" w:cs="Arial"/>
                <w:sz w:val="22"/>
                <w:szCs w:val="22"/>
              </w:rPr>
              <w:t xml:space="preserve"> </w:t>
            </w:r>
          </w:p>
        </w:tc>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jc w:val="center"/>
              <w:rPr>
                <w:rFonts w:ascii="Arial" w:hAnsi="Arial" w:cs="Arial"/>
                <w:sz w:val="22"/>
                <w:szCs w:val="22"/>
              </w:rPr>
            </w:pPr>
            <w:r>
              <w:rPr>
                <w:rFonts w:ascii="Arial" w:hAnsi="Arial" w:cs="Arial"/>
                <w:sz w:val="22"/>
                <w:szCs w:val="22"/>
              </w:rPr>
              <w:t>Twenty-one (21) days before trial</w:t>
            </w:r>
          </w:p>
        </w:tc>
        <w:tc>
          <w:tcPr>
            <w:tcW w:w="4140" w:type="dxa"/>
            <w:vMerge/>
            <w:tcBorders>
              <w:top w:val="nil"/>
              <w:left w:val="single" w:sz="7" w:space="0" w:color="000000"/>
              <w:bottom w:val="single" w:sz="7" w:space="0" w:color="000000"/>
              <w:right w:val="single" w:sz="7" w:space="0" w:color="000000"/>
            </w:tcBorders>
          </w:tcPr>
          <w:p w:rsidR="004A58F7" w:rsidRDefault="004A58F7">
            <w:pPr>
              <w:spacing w:after="58"/>
              <w:jc w:val="both"/>
              <w:rPr>
                <w:rFonts w:ascii="Arial" w:hAnsi="Arial" w:cs="Arial"/>
                <w:sz w:val="22"/>
                <w:szCs w:val="22"/>
              </w:rPr>
            </w:pPr>
          </w:p>
        </w:tc>
      </w:tr>
      <w:tr w:rsidR="004A58F7" w:rsidTr="00252685">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rPr>
                <w:rFonts w:ascii="Arial" w:hAnsi="Arial" w:cs="Arial"/>
                <w:sz w:val="22"/>
                <w:szCs w:val="22"/>
              </w:rPr>
            </w:pPr>
            <w:r>
              <w:rPr>
                <w:rFonts w:ascii="Arial" w:hAnsi="Arial" w:cs="Arial"/>
                <w:sz w:val="22"/>
                <w:szCs w:val="22"/>
              </w:rPr>
              <w:t>Expert Reports</w:t>
            </w:r>
          </w:p>
        </w:tc>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jc w:val="center"/>
              <w:rPr>
                <w:rFonts w:ascii="Arial" w:hAnsi="Arial" w:cs="Arial"/>
                <w:sz w:val="22"/>
                <w:szCs w:val="22"/>
              </w:rPr>
            </w:pPr>
            <w:r>
              <w:rPr>
                <w:rFonts w:ascii="Arial" w:hAnsi="Arial" w:cs="Arial"/>
                <w:sz w:val="22"/>
                <w:szCs w:val="22"/>
              </w:rPr>
              <w:t xml:space="preserve">In accordance with </w:t>
            </w:r>
          </w:p>
          <w:p w:rsidR="004A58F7" w:rsidRDefault="004A58F7">
            <w:pPr>
              <w:spacing w:after="58"/>
              <w:jc w:val="center"/>
              <w:rPr>
                <w:rFonts w:ascii="Arial" w:hAnsi="Arial" w:cs="Arial"/>
                <w:sz w:val="22"/>
                <w:szCs w:val="22"/>
              </w:rPr>
            </w:pPr>
            <w:r>
              <w:rPr>
                <w:rFonts w:ascii="Arial" w:hAnsi="Arial" w:cs="Arial"/>
                <w:sz w:val="22"/>
                <w:szCs w:val="22"/>
              </w:rPr>
              <w:t>Rule 26(a)(2) of the Federal Rules of Civil Procedure</w:t>
            </w:r>
          </w:p>
        </w:tc>
        <w:tc>
          <w:tcPr>
            <w:tcW w:w="414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jc w:val="both"/>
              <w:rPr>
                <w:rFonts w:ascii="Arial" w:hAnsi="Arial" w:cs="Arial"/>
                <w:sz w:val="22"/>
                <w:szCs w:val="22"/>
              </w:rPr>
            </w:pPr>
            <w:r>
              <w:rPr>
                <w:rFonts w:ascii="Arial" w:hAnsi="Arial" w:cs="Arial"/>
                <w:sz w:val="22"/>
                <w:szCs w:val="22"/>
              </w:rPr>
              <w:t>When calling an expert witness, it is the responsibility of counsel to establish his/her qualifications to express an opinion under Rule 702, after which counsel must move for his/her acceptance by the Court as an expert.  Further, counsel must inform the Court of the particular field in which counsel offers the witness as an expert.  As in other areas, cumulative expert testimony will not be permitted.</w:t>
            </w:r>
          </w:p>
        </w:tc>
      </w:tr>
    </w:tbl>
    <w:p w:rsidR="00252685" w:rsidRDefault="00252685"/>
    <w:tbl>
      <w:tblPr>
        <w:tblW w:w="10080" w:type="dxa"/>
        <w:tblInd w:w="-150" w:type="dxa"/>
        <w:tblLayout w:type="fixed"/>
        <w:tblCellMar>
          <w:left w:w="120" w:type="dxa"/>
          <w:right w:w="120" w:type="dxa"/>
        </w:tblCellMar>
        <w:tblLook w:val="0000" w:firstRow="0" w:lastRow="0" w:firstColumn="0" w:lastColumn="0" w:noHBand="0" w:noVBand="0"/>
      </w:tblPr>
      <w:tblGrid>
        <w:gridCol w:w="2970"/>
        <w:gridCol w:w="2970"/>
        <w:gridCol w:w="4140"/>
      </w:tblGrid>
      <w:tr w:rsidR="00252685" w:rsidTr="00C642BF">
        <w:trPr>
          <w:tblHeader/>
        </w:trPr>
        <w:tc>
          <w:tcPr>
            <w:tcW w:w="2970" w:type="dxa"/>
            <w:tcBorders>
              <w:top w:val="single" w:sz="7" w:space="0" w:color="000000"/>
              <w:left w:val="single" w:sz="7" w:space="0" w:color="000000"/>
              <w:bottom w:val="single" w:sz="7" w:space="0" w:color="000000"/>
              <w:right w:val="single" w:sz="7" w:space="0" w:color="000000"/>
            </w:tcBorders>
            <w:shd w:val="pct10" w:color="000000" w:fill="FFFFFF"/>
          </w:tcPr>
          <w:p w:rsidR="00252685" w:rsidRDefault="00252685" w:rsidP="00C642BF">
            <w:pPr>
              <w:spacing w:line="120" w:lineRule="exact"/>
              <w:rPr>
                <w:rFonts w:ascii="Arial" w:hAnsi="Arial" w:cs="Arial"/>
              </w:rPr>
            </w:pPr>
          </w:p>
          <w:p w:rsidR="00252685" w:rsidRDefault="00252685" w:rsidP="00C642BF">
            <w:pPr>
              <w:spacing w:after="58"/>
              <w:jc w:val="center"/>
              <w:rPr>
                <w:rFonts w:ascii="Arial" w:hAnsi="Arial" w:cs="Arial"/>
                <w:b/>
                <w:bCs/>
              </w:rPr>
            </w:pPr>
            <w:r>
              <w:rPr>
                <w:rFonts w:ascii="Arial" w:hAnsi="Arial" w:cs="Arial"/>
                <w:b/>
                <w:bCs/>
              </w:rPr>
              <w:t>EVENT</w:t>
            </w:r>
          </w:p>
        </w:tc>
        <w:tc>
          <w:tcPr>
            <w:tcW w:w="2970" w:type="dxa"/>
            <w:tcBorders>
              <w:top w:val="single" w:sz="7" w:space="0" w:color="000000"/>
              <w:left w:val="single" w:sz="7" w:space="0" w:color="000000"/>
              <w:bottom w:val="single" w:sz="7" w:space="0" w:color="000000"/>
              <w:right w:val="single" w:sz="7" w:space="0" w:color="000000"/>
            </w:tcBorders>
            <w:shd w:val="pct10" w:color="000000" w:fill="FFFFFF"/>
          </w:tcPr>
          <w:p w:rsidR="00252685" w:rsidRDefault="00252685" w:rsidP="00C642BF">
            <w:pPr>
              <w:spacing w:line="120" w:lineRule="exact"/>
              <w:rPr>
                <w:rFonts w:ascii="Arial" w:hAnsi="Arial" w:cs="Arial"/>
                <w:b/>
                <w:bCs/>
              </w:rPr>
            </w:pPr>
          </w:p>
          <w:p w:rsidR="00252685" w:rsidRDefault="00252685" w:rsidP="00C642BF">
            <w:pPr>
              <w:spacing w:after="58"/>
              <w:jc w:val="center"/>
              <w:rPr>
                <w:rFonts w:ascii="Arial" w:hAnsi="Arial" w:cs="Arial"/>
                <w:b/>
                <w:bCs/>
              </w:rPr>
            </w:pPr>
            <w:r>
              <w:rPr>
                <w:rFonts w:ascii="Arial" w:hAnsi="Arial" w:cs="Arial"/>
                <w:b/>
                <w:bCs/>
              </w:rPr>
              <w:t>DEADLINE</w:t>
            </w:r>
          </w:p>
        </w:tc>
        <w:tc>
          <w:tcPr>
            <w:tcW w:w="4140" w:type="dxa"/>
            <w:tcBorders>
              <w:top w:val="single" w:sz="7" w:space="0" w:color="000000"/>
              <w:left w:val="single" w:sz="7" w:space="0" w:color="000000"/>
              <w:bottom w:val="single" w:sz="7" w:space="0" w:color="000000"/>
              <w:right w:val="single" w:sz="7" w:space="0" w:color="000000"/>
            </w:tcBorders>
            <w:shd w:val="pct10" w:color="000000" w:fill="FFFFFF"/>
          </w:tcPr>
          <w:p w:rsidR="00252685" w:rsidRDefault="00252685" w:rsidP="00C642BF">
            <w:pPr>
              <w:spacing w:line="120" w:lineRule="exact"/>
              <w:rPr>
                <w:rFonts w:ascii="Arial" w:hAnsi="Arial" w:cs="Arial"/>
                <w:b/>
                <w:bCs/>
              </w:rPr>
            </w:pPr>
          </w:p>
          <w:p w:rsidR="00252685" w:rsidRDefault="00252685" w:rsidP="00C642BF">
            <w:pPr>
              <w:spacing w:after="58"/>
              <w:jc w:val="center"/>
              <w:rPr>
                <w:rFonts w:ascii="Arial" w:hAnsi="Arial" w:cs="Arial"/>
                <w:b/>
                <w:bCs/>
                <w:sz w:val="22"/>
                <w:szCs w:val="22"/>
              </w:rPr>
            </w:pPr>
            <w:r>
              <w:rPr>
                <w:rFonts w:ascii="Arial" w:hAnsi="Arial" w:cs="Arial"/>
                <w:b/>
                <w:bCs/>
              </w:rPr>
              <w:t>COMMENT</w:t>
            </w:r>
          </w:p>
        </w:tc>
      </w:tr>
      <w:tr w:rsidR="00FB62A2" w:rsidTr="00C642BF">
        <w:tc>
          <w:tcPr>
            <w:tcW w:w="2970" w:type="dxa"/>
            <w:tcBorders>
              <w:top w:val="single" w:sz="7" w:space="0" w:color="000000"/>
              <w:left w:val="single" w:sz="7" w:space="0" w:color="000000"/>
              <w:bottom w:val="single" w:sz="7" w:space="0" w:color="000000"/>
              <w:right w:val="single" w:sz="7" w:space="0" w:color="000000"/>
            </w:tcBorders>
          </w:tcPr>
          <w:p w:rsidR="00FB62A2" w:rsidRDefault="00FB62A2" w:rsidP="00C642BF">
            <w:pPr>
              <w:spacing w:line="120" w:lineRule="exact"/>
              <w:rPr>
                <w:rFonts w:ascii="Arial" w:hAnsi="Arial" w:cs="Arial"/>
                <w:sz w:val="22"/>
                <w:szCs w:val="22"/>
              </w:rPr>
            </w:pPr>
          </w:p>
          <w:p w:rsidR="00FB62A2" w:rsidRDefault="00FB62A2" w:rsidP="00C642BF">
            <w:pPr>
              <w:spacing w:after="58"/>
              <w:rPr>
                <w:rFonts w:ascii="Arial" w:hAnsi="Arial" w:cs="Arial"/>
                <w:sz w:val="22"/>
                <w:szCs w:val="22"/>
              </w:rPr>
            </w:pPr>
            <w:r>
              <w:rPr>
                <w:rFonts w:ascii="Arial" w:hAnsi="Arial" w:cs="Arial"/>
                <w:sz w:val="22"/>
                <w:szCs w:val="22"/>
              </w:rPr>
              <w:t>Depositions</w:t>
            </w:r>
          </w:p>
        </w:tc>
        <w:tc>
          <w:tcPr>
            <w:tcW w:w="2970" w:type="dxa"/>
            <w:tcBorders>
              <w:top w:val="single" w:sz="7" w:space="0" w:color="000000"/>
              <w:left w:val="single" w:sz="7" w:space="0" w:color="000000"/>
              <w:bottom w:val="single" w:sz="7" w:space="0" w:color="000000"/>
              <w:right w:val="single" w:sz="7" w:space="0" w:color="000000"/>
            </w:tcBorders>
          </w:tcPr>
          <w:p w:rsidR="00FB62A2" w:rsidRDefault="00FB62A2" w:rsidP="00C642BF">
            <w:pPr>
              <w:spacing w:line="120" w:lineRule="exact"/>
              <w:rPr>
                <w:rFonts w:ascii="Arial" w:hAnsi="Arial" w:cs="Arial"/>
                <w:sz w:val="22"/>
                <w:szCs w:val="22"/>
              </w:rPr>
            </w:pPr>
          </w:p>
          <w:p w:rsidR="00FB62A2" w:rsidRDefault="00FB62A2" w:rsidP="00C642BF">
            <w:pPr>
              <w:spacing w:after="58"/>
              <w:jc w:val="center"/>
              <w:rPr>
                <w:rFonts w:ascii="Arial" w:hAnsi="Arial" w:cs="Arial"/>
                <w:sz w:val="22"/>
                <w:szCs w:val="22"/>
              </w:rPr>
            </w:pPr>
            <w:r>
              <w:rPr>
                <w:rFonts w:ascii="Arial" w:hAnsi="Arial" w:cs="Arial"/>
                <w:sz w:val="22"/>
                <w:szCs w:val="22"/>
              </w:rPr>
              <w:t>Twenty-one (21) days before trial</w:t>
            </w:r>
          </w:p>
        </w:tc>
        <w:tc>
          <w:tcPr>
            <w:tcW w:w="4140" w:type="dxa"/>
            <w:tcBorders>
              <w:top w:val="single" w:sz="7" w:space="0" w:color="000000"/>
              <w:left w:val="single" w:sz="7" w:space="0" w:color="000000"/>
              <w:bottom w:val="single" w:sz="7" w:space="0" w:color="000000"/>
              <w:right w:val="single" w:sz="7" w:space="0" w:color="000000"/>
            </w:tcBorders>
          </w:tcPr>
          <w:p w:rsidR="00FB62A2" w:rsidRDefault="00FB62A2" w:rsidP="00C642BF">
            <w:pPr>
              <w:spacing w:line="120" w:lineRule="exact"/>
              <w:rPr>
                <w:rFonts w:ascii="Arial" w:hAnsi="Arial" w:cs="Arial"/>
                <w:sz w:val="22"/>
                <w:szCs w:val="22"/>
              </w:rPr>
            </w:pPr>
          </w:p>
          <w:p w:rsidR="00FB62A2" w:rsidRDefault="00FB62A2" w:rsidP="00C642BF">
            <w:pPr>
              <w:spacing w:after="58"/>
              <w:jc w:val="both"/>
              <w:rPr>
                <w:rFonts w:ascii="Arial" w:hAnsi="Arial" w:cs="Arial"/>
                <w:sz w:val="22"/>
                <w:szCs w:val="22"/>
              </w:rPr>
            </w:pPr>
            <w:r>
              <w:rPr>
                <w:rFonts w:ascii="Arial" w:hAnsi="Arial" w:cs="Arial"/>
                <w:sz w:val="22"/>
                <w:szCs w:val="22"/>
              </w:rPr>
              <w:t>Counsel shall notify opposing counsel and the Court of any intended use of deposition testimony at trial.  If a deposition is to be used in part, counsel shall highlight the parts to be used for the Court.  The plaintiff will use a yellow marker and the defendant a blue marker. This does not apply to cross-examination or rebuttal.</w:t>
            </w:r>
          </w:p>
        </w:tc>
      </w:tr>
      <w:tr w:rsidR="004A58F7" w:rsidTr="00252685">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rPr>
                <w:rFonts w:ascii="Arial" w:hAnsi="Arial" w:cs="Arial"/>
                <w:sz w:val="22"/>
                <w:szCs w:val="22"/>
              </w:rPr>
            </w:pPr>
            <w:r>
              <w:rPr>
                <w:rFonts w:ascii="Arial" w:hAnsi="Arial" w:cs="Arial"/>
                <w:sz w:val="22"/>
                <w:szCs w:val="22"/>
              </w:rPr>
              <w:t>Deposition Objections</w:t>
            </w:r>
          </w:p>
        </w:tc>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jc w:val="center"/>
              <w:rPr>
                <w:rFonts w:ascii="Arial" w:hAnsi="Arial" w:cs="Arial"/>
                <w:sz w:val="22"/>
                <w:szCs w:val="22"/>
              </w:rPr>
            </w:pPr>
            <w:r>
              <w:rPr>
                <w:rFonts w:ascii="Arial" w:hAnsi="Arial" w:cs="Arial"/>
                <w:sz w:val="22"/>
                <w:szCs w:val="22"/>
              </w:rPr>
              <w:t xml:space="preserve">Fifteen (15) days </w:t>
            </w:r>
          </w:p>
          <w:p w:rsidR="004A58F7" w:rsidRDefault="004A58F7">
            <w:pPr>
              <w:spacing w:after="58"/>
              <w:jc w:val="center"/>
              <w:rPr>
                <w:rFonts w:ascii="Arial" w:hAnsi="Arial" w:cs="Arial"/>
                <w:sz w:val="22"/>
                <w:szCs w:val="22"/>
              </w:rPr>
            </w:pPr>
            <w:r>
              <w:rPr>
                <w:rFonts w:ascii="Arial" w:hAnsi="Arial" w:cs="Arial"/>
                <w:sz w:val="22"/>
                <w:szCs w:val="22"/>
              </w:rPr>
              <w:t>before trial</w:t>
            </w:r>
          </w:p>
        </w:tc>
        <w:tc>
          <w:tcPr>
            <w:tcW w:w="414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jc w:val="both"/>
              <w:rPr>
                <w:rFonts w:ascii="Arial" w:hAnsi="Arial" w:cs="Arial"/>
                <w:sz w:val="22"/>
                <w:szCs w:val="22"/>
              </w:rPr>
            </w:pPr>
            <w:r>
              <w:rPr>
                <w:rFonts w:ascii="Arial" w:hAnsi="Arial" w:cs="Arial"/>
                <w:sz w:val="22"/>
                <w:szCs w:val="22"/>
              </w:rPr>
              <w:t>Counsel shall file any objections to the other party</w:t>
            </w:r>
            <w:r>
              <w:rPr>
                <w:rFonts w:ascii="Arial" w:hAnsi="Arial" w:cs="Arial"/>
                <w:sz w:val="22"/>
                <w:szCs w:val="22"/>
              </w:rPr>
              <w:sym w:font="WP TypographicSymbols" w:char="003D"/>
            </w:r>
            <w:r>
              <w:rPr>
                <w:rFonts w:ascii="Arial" w:hAnsi="Arial" w:cs="Arial"/>
                <w:sz w:val="22"/>
                <w:szCs w:val="22"/>
              </w:rPr>
              <w:t>s deposition designations.</w:t>
            </w:r>
          </w:p>
        </w:tc>
      </w:tr>
      <w:tr w:rsidR="004A58F7" w:rsidTr="00252685">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rPr>
                <w:rFonts w:ascii="Arial" w:hAnsi="Arial" w:cs="Arial"/>
                <w:sz w:val="22"/>
                <w:szCs w:val="22"/>
              </w:rPr>
            </w:pPr>
            <w:r>
              <w:rPr>
                <w:rFonts w:ascii="Arial" w:hAnsi="Arial" w:cs="Arial"/>
                <w:sz w:val="22"/>
                <w:szCs w:val="22"/>
              </w:rPr>
              <w:t>Memoranda of Law</w:t>
            </w:r>
          </w:p>
        </w:tc>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1C45D7" w:rsidP="001C45D7">
            <w:pPr>
              <w:jc w:val="center"/>
              <w:rPr>
                <w:rFonts w:ascii="Arial" w:hAnsi="Arial" w:cs="Arial"/>
                <w:sz w:val="22"/>
                <w:szCs w:val="22"/>
              </w:rPr>
            </w:pPr>
            <w:r>
              <w:rPr>
                <w:rFonts w:ascii="Arial" w:hAnsi="Arial" w:cs="Arial"/>
                <w:sz w:val="22"/>
                <w:szCs w:val="22"/>
              </w:rPr>
              <w:t xml:space="preserve">Thirty (30) </w:t>
            </w:r>
            <w:r w:rsidR="004A58F7">
              <w:rPr>
                <w:rFonts w:ascii="Arial" w:hAnsi="Arial" w:cs="Arial"/>
                <w:sz w:val="22"/>
                <w:szCs w:val="22"/>
              </w:rPr>
              <w:t>days</w:t>
            </w:r>
            <w:r>
              <w:rPr>
                <w:rFonts w:ascii="Arial" w:hAnsi="Arial" w:cs="Arial"/>
                <w:sz w:val="22"/>
                <w:szCs w:val="22"/>
              </w:rPr>
              <w:t xml:space="preserve"> </w:t>
            </w:r>
            <w:r w:rsidR="004A58F7">
              <w:rPr>
                <w:rFonts w:ascii="Arial" w:hAnsi="Arial" w:cs="Arial"/>
                <w:sz w:val="22"/>
                <w:szCs w:val="22"/>
              </w:rPr>
              <w:t>before trial</w:t>
            </w:r>
          </w:p>
        </w:tc>
        <w:tc>
          <w:tcPr>
            <w:tcW w:w="414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jc w:val="both"/>
              <w:rPr>
                <w:rFonts w:ascii="Arial" w:hAnsi="Arial" w:cs="Arial"/>
                <w:sz w:val="22"/>
                <w:szCs w:val="22"/>
              </w:rPr>
            </w:pPr>
            <w:r>
              <w:rPr>
                <w:rFonts w:ascii="Arial" w:hAnsi="Arial" w:cs="Arial"/>
                <w:sz w:val="22"/>
                <w:szCs w:val="22"/>
              </w:rPr>
              <w:t>The parties shall file trial briefs outlining the basic legal theories, anticipated evidence in support of such theories, and the legal basis of any anticipated evidentiary disputes.</w:t>
            </w:r>
          </w:p>
        </w:tc>
      </w:tr>
      <w:tr w:rsidR="004A58F7" w:rsidTr="00252685">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rPr>
                <w:rFonts w:ascii="Arial" w:hAnsi="Arial" w:cs="Arial"/>
                <w:sz w:val="22"/>
                <w:szCs w:val="22"/>
              </w:rPr>
            </w:pPr>
            <w:r>
              <w:rPr>
                <w:rFonts w:ascii="Arial" w:hAnsi="Arial" w:cs="Arial"/>
                <w:sz w:val="22"/>
                <w:szCs w:val="22"/>
              </w:rPr>
              <w:t>Non-Jury Trials:  Findings of Fact</w:t>
            </w:r>
          </w:p>
        </w:tc>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jc w:val="center"/>
              <w:rPr>
                <w:rFonts w:ascii="Arial" w:hAnsi="Arial" w:cs="Arial"/>
                <w:sz w:val="22"/>
                <w:szCs w:val="22"/>
              </w:rPr>
            </w:pPr>
            <w:r>
              <w:rPr>
                <w:rFonts w:ascii="Arial" w:hAnsi="Arial" w:cs="Arial"/>
                <w:sz w:val="22"/>
                <w:szCs w:val="22"/>
              </w:rPr>
              <w:t>Thirty (30) days before trial</w:t>
            </w:r>
          </w:p>
        </w:tc>
        <w:tc>
          <w:tcPr>
            <w:tcW w:w="414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jc w:val="both"/>
              <w:rPr>
                <w:rFonts w:ascii="Arial" w:hAnsi="Arial" w:cs="Arial"/>
                <w:sz w:val="22"/>
                <w:szCs w:val="22"/>
              </w:rPr>
            </w:pPr>
            <w:r>
              <w:rPr>
                <w:rFonts w:ascii="Arial" w:hAnsi="Arial" w:cs="Arial"/>
                <w:sz w:val="22"/>
                <w:szCs w:val="22"/>
              </w:rPr>
              <w:t>In non-jury trials, the parties shall file findings of fact and conclusions of law, with references to exhibits and proposed testimony.  Each party shall also email the proposed findings and conclusion to:</w:t>
            </w:r>
          </w:p>
          <w:p w:rsidR="004A58F7" w:rsidRDefault="004A58F7" w:rsidP="00176EBC">
            <w:pPr>
              <w:spacing w:after="58"/>
              <w:jc w:val="both"/>
              <w:rPr>
                <w:rFonts w:ascii="Arial" w:hAnsi="Arial" w:cs="Arial"/>
                <w:sz w:val="22"/>
                <w:szCs w:val="22"/>
              </w:rPr>
            </w:pPr>
            <w:r>
              <w:rPr>
                <w:rStyle w:val="Hypertext"/>
                <w:rFonts w:ascii="Arial" w:hAnsi="Arial" w:cs="Arial"/>
                <w:sz w:val="22"/>
                <w:szCs w:val="22"/>
              </w:rPr>
              <w:t>vazquezchambers@nmcourt.fed.us</w:t>
            </w:r>
            <w:r>
              <w:rPr>
                <w:rFonts w:ascii="Arial" w:hAnsi="Arial" w:cs="Arial"/>
                <w:sz w:val="22"/>
                <w:szCs w:val="22"/>
              </w:rPr>
              <w:t xml:space="preserve"> in a format compatible with </w:t>
            </w:r>
            <w:r w:rsidR="00176EBC">
              <w:rPr>
                <w:rFonts w:ascii="Arial" w:hAnsi="Arial" w:cs="Arial"/>
                <w:sz w:val="22"/>
                <w:szCs w:val="22"/>
              </w:rPr>
              <w:t>Microsoft Word 2010.</w:t>
            </w:r>
          </w:p>
        </w:tc>
      </w:tr>
      <w:tr w:rsidR="004A58F7" w:rsidTr="00252685">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rPr>
                <w:rFonts w:ascii="Arial" w:hAnsi="Arial" w:cs="Arial"/>
                <w:sz w:val="22"/>
                <w:szCs w:val="22"/>
              </w:rPr>
            </w:pPr>
            <w:r>
              <w:rPr>
                <w:rFonts w:ascii="Arial" w:hAnsi="Arial" w:cs="Arial"/>
                <w:sz w:val="22"/>
                <w:szCs w:val="22"/>
              </w:rPr>
              <w:t>Joint Jury Instructions</w:t>
            </w:r>
          </w:p>
          <w:p w:rsidR="004A58F7" w:rsidRDefault="004A58F7">
            <w:pPr>
              <w:spacing w:after="58"/>
              <w:rPr>
                <w:rFonts w:ascii="Arial" w:hAnsi="Arial" w:cs="Arial"/>
                <w:sz w:val="22"/>
                <w:szCs w:val="22"/>
              </w:rPr>
            </w:pPr>
            <w:r>
              <w:rPr>
                <w:rFonts w:ascii="Arial" w:hAnsi="Arial" w:cs="Arial"/>
                <w:sz w:val="22"/>
                <w:szCs w:val="22"/>
              </w:rPr>
              <w:t>and Objections</w:t>
            </w:r>
          </w:p>
        </w:tc>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jc w:val="center"/>
              <w:rPr>
                <w:rFonts w:ascii="Arial" w:hAnsi="Arial" w:cs="Arial"/>
                <w:sz w:val="22"/>
                <w:szCs w:val="22"/>
              </w:rPr>
            </w:pPr>
            <w:r>
              <w:rPr>
                <w:rFonts w:ascii="Arial" w:hAnsi="Arial" w:cs="Arial"/>
                <w:sz w:val="22"/>
                <w:szCs w:val="22"/>
              </w:rPr>
              <w:t>Thirty (30) days before trial</w:t>
            </w:r>
          </w:p>
        </w:tc>
        <w:tc>
          <w:tcPr>
            <w:tcW w:w="414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jc w:val="both"/>
              <w:rPr>
                <w:rFonts w:ascii="Arial" w:hAnsi="Arial" w:cs="Arial"/>
                <w:sz w:val="22"/>
                <w:szCs w:val="22"/>
              </w:rPr>
            </w:pPr>
            <w:r>
              <w:rPr>
                <w:rFonts w:ascii="Arial" w:hAnsi="Arial" w:cs="Arial"/>
                <w:sz w:val="22"/>
                <w:szCs w:val="22"/>
              </w:rPr>
              <w:t>The parties shall comply with this Court</w:t>
            </w:r>
            <w:r>
              <w:rPr>
                <w:rFonts w:ascii="Arial" w:hAnsi="Arial" w:cs="Arial"/>
                <w:sz w:val="22"/>
                <w:szCs w:val="22"/>
              </w:rPr>
              <w:sym w:font="WP TypographicSymbols" w:char="003D"/>
            </w:r>
            <w:r>
              <w:rPr>
                <w:rFonts w:ascii="Arial" w:hAnsi="Arial" w:cs="Arial"/>
                <w:sz w:val="22"/>
                <w:szCs w:val="22"/>
              </w:rPr>
              <w:t xml:space="preserve">s rules regarding jury instructions as set forth in the attached document titled </w:t>
            </w:r>
            <w:r>
              <w:rPr>
                <w:rFonts w:ascii="Arial" w:hAnsi="Arial" w:cs="Arial"/>
                <w:sz w:val="22"/>
                <w:szCs w:val="22"/>
              </w:rPr>
              <w:sym w:font="WP TypographicSymbols" w:char="0041"/>
            </w:r>
            <w:r>
              <w:rPr>
                <w:rFonts w:ascii="Arial" w:hAnsi="Arial" w:cs="Arial"/>
                <w:sz w:val="22"/>
                <w:szCs w:val="22"/>
              </w:rPr>
              <w:t>Preparation for Civil Trials.</w:t>
            </w:r>
            <w:r>
              <w:rPr>
                <w:rFonts w:ascii="Arial" w:hAnsi="Arial" w:cs="Arial"/>
                <w:sz w:val="22"/>
                <w:szCs w:val="22"/>
              </w:rPr>
              <w:sym w:font="WP TypographicSymbols" w:char="0040"/>
            </w:r>
          </w:p>
        </w:tc>
      </w:tr>
      <w:tr w:rsidR="004A58F7" w:rsidTr="00252685">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rPr>
                <w:rFonts w:ascii="Arial" w:hAnsi="Arial" w:cs="Arial"/>
                <w:sz w:val="22"/>
                <w:szCs w:val="22"/>
              </w:rPr>
            </w:pPr>
            <w:r>
              <w:rPr>
                <w:rFonts w:ascii="Arial" w:hAnsi="Arial" w:cs="Arial"/>
                <w:sz w:val="22"/>
                <w:szCs w:val="22"/>
              </w:rPr>
              <w:t>Joint Statement of the Case</w:t>
            </w:r>
          </w:p>
        </w:tc>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jc w:val="center"/>
              <w:rPr>
                <w:rFonts w:ascii="Arial" w:hAnsi="Arial" w:cs="Arial"/>
                <w:sz w:val="22"/>
                <w:szCs w:val="22"/>
              </w:rPr>
            </w:pPr>
            <w:r>
              <w:rPr>
                <w:rFonts w:ascii="Arial" w:hAnsi="Arial" w:cs="Arial"/>
                <w:sz w:val="22"/>
                <w:szCs w:val="22"/>
              </w:rPr>
              <w:t>Thirty (30) days before trial</w:t>
            </w:r>
          </w:p>
        </w:tc>
        <w:tc>
          <w:tcPr>
            <w:tcW w:w="414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jc w:val="both"/>
              <w:rPr>
                <w:rFonts w:ascii="Arial" w:hAnsi="Arial" w:cs="Arial"/>
                <w:sz w:val="22"/>
                <w:szCs w:val="22"/>
              </w:rPr>
            </w:pPr>
            <w:r>
              <w:rPr>
                <w:rFonts w:ascii="Arial" w:hAnsi="Arial" w:cs="Arial"/>
                <w:sz w:val="22"/>
                <w:szCs w:val="22"/>
              </w:rPr>
              <w:t>The parties must confer and file an agreed upon statement of the case that will be read to the jury panel during jury selection.  The statement should contain a clear explanation of the factual and legal issues.</w:t>
            </w:r>
          </w:p>
        </w:tc>
      </w:tr>
    </w:tbl>
    <w:p w:rsidR="00252685" w:rsidRDefault="00252685">
      <w:r>
        <w:br w:type="page"/>
      </w:r>
    </w:p>
    <w:tbl>
      <w:tblPr>
        <w:tblW w:w="10080" w:type="dxa"/>
        <w:tblInd w:w="-150" w:type="dxa"/>
        <w:tblLayout w:type="fixed"/>
        <w:tblCellMar>
          <w:left w:w="120" w:type="dxa"/>
          <w:right w:w="120" w:type="dxa"/>
        </w:tblCellMar>
        <w:tblLook w:val="0000" w:firstRow="0" w:lastRow="0" w:firstColumn="0" w:lastColumn="0" w:noHBand="0" w:noVBand="0"/>
      </w:tblPr>
      <w:tblGrid>
        <w:gridCol w:w="2970"/>
        <w:gridCol w:w="2970"/>
        <w:gridCol w:w="4140"/>
      </w:tblGrid>
      <w:tr w:rsidR="00F2413C" w:rsidTr="00C642BF">
        <w:trPr>
          <w:tblHeader/>
        </w:trPr>
        <w:tc>
          <w:tcPr>
            <w:tcW w:w="2970" w:type="dxa"/>
            <w:tcBorders>
              <w:top w:val="single" w:sz="7" w:space="0" w:color="000000"/>
              <w:left w:val="single" w:sz="7" w:space="0" w:color="000000"/>
              <w:bottom w:val="single" w:sz="7" w:space="0" w:color="000000"/>
              <w:right w:val="single" w:sz="7" w:space="0" w:color="000000"/>
            </w:tcBorders>
            <w:shd w:val="pct10" w:color="000000" w:fill="FFFFFF"/>
          </w:tcPr>
          <w:p w:rsidR="00F2413C" w:rsidRDefault="00F2413C" w:rsidP="00C642BF">
            <w:pPr>
              <w:spacing w:line="120" w:lineRule="exact"/>
              <w:rPr>
                <w:rFonts w:ascii="Arial" w:hAnsi="Arial" w:cs="Arial"/>
              </w:rPr>
            </w:pPr>
          </w:p>
          <w:p w:rsidR="00F2413C" w:rsidRDefault="00F2413C" w:rsidP="00C642BF">
            <w:pPr>
              <w:spacing w:after="58"/>
              <w:jc w:val="center"/>
              <w:rPr>
                <w:rFonts w:ascii="Arial" w:hAnsi="Arial" w:cs="Arial"/>
                <w:b/>
                <w:bCs/>
              </w:rPr>
            </w:pPr>
            <w:r>
              <w:rPr>
                <w:rFonts w:ascii="Arial" w:hAnsi="Arial" w:cs="Arial"/>
                <w:b/>
                <w:bCs/>
              </w:rPr>
              <w:t>EVENT</w:t>
            </w:r>
          </w:p>
        </w:tc>
        <w:tc>
          <w:tcPr>
            <w:tcW w:w="2970" w:type="dxa"/>
            <w:tcBorders>
              <w:top w:val="single" w:sz="7" w:space="0" w:color="000000"/>
              <w:left w:val="single" w:sz="7" w:space="0" w:color="000000"/>
              <w:bottom w:val="single" w:sz="7" w:space="0" w:color="000000"/>
              <w:right w:val="single" w:sz="7" w:space="0" w:color="000000"/>
            </w:tcBorders>
            <w:shd w:val="pct10" w:color="000000" w:fill="FFFFFF"/>
          </w:tcPr>
          <w:p w:rsidR="00F2413C" w:rsidRDefault="00F2413C" w:rsidP="00C642BF">
            <w:pPr>
              <w:spacing w:line="120" w:lineRule="exact"/>
              <w:rPr>
                <w:rFonts w:ascii="Arial" w:hAnsi="Arial" w:cs="Arial"/>
                <w:b/>
                <w:bCs/>
              </w:rPr>
            </w:pPr>
          </w:p>
          <w:p w:rsidR="00F2413C" w:rsidRDefault="00F2413C" w:rsidP="00C642BF">
            <w:pPr>
              <w:spacing w:after="58"/>
              <w:jc w:val="center"/>
              <w:rPr>
                <w:rFonts w:ascii="Arial" w:hAnsi="Arial" w:cs="Arial"/>
                <w:b/>
                <w:bCs/>
              </w:rPr>
            </w:pPr>
            <w:r>
              <w:rPr>
                <w:rFonts w:ascii="Arial" w:hAnsi="Arial" w:cs="Arial"/>
                <w:b/>
                <w:bCs/>
              </w:rPr>
              <w:t>DEADLINE</w:t>
            </w:r>
          </w:p>
        </w:tc>
        <w:tc>
          <w:tcPr>
            <w:tcW w:w="4140" w:type="dxa"/>
            <w:tcBorders>
              <w:top w:val="single" w:sz="7" w:space="0" w:color="000000"/>
              <w:left w:val="single" w:sz="7" w:space="0" w:color="000000"/>
              <w:bottom w:val="single" w:sz="7" w:space="0" w:color="000000"/>
              <w:right w:val="single" w:sz="7" w:space="0" w:color="000000"/>
            </w:tcBorders>
            <w:shd w:val="pct10" w:color="000000" w:fill="FFFFFF"/>
          </w:tcPr>
          <w:p w:rsidR="00F2413C" w:rsidRDefault="00F2413C" w:rsidP="00C642BF">
            <w:pPr>
              <w:spacing w:line="120" w:lineRule="exact"/>
              <w:rPr>
                <w:rFonts w:ascii="Arial" w:hAnsi="Arial" w:cs="Arial"/>
                <w:b/>
                <w:bCs/>
              </w:rPr>
            </w:pPr>
          </w:p>
          <w:p w:rsidR="00F2413C" w:rsidRDefault="00F2413C" w:rsidP="00C642BF">
            <w:pPr>
              <w:spacing w:after="58"/>
              <w:jc w:val="center"/>
              <w:rPr>
                <w:rFonts w:ascii="Arial" w:hAnsi="Arial" w:cs="Arial"/>
                <w:b/>
                <w:bCs/>
                <w:sz w:val="22"/>
                <w:szCs w:val="22"/>
              </w:rPr>
            </w:pPr>
            <w:r>
              <w:rPr>
                <w:rFonts w:ascii="Arial" w:hAnsi="Arial" w:cs="Arial"/>
                <w:b/>
                <w:bCs/>
              </w:rPr>
              <w:t>COMMENT</w:t>
            </w:r>
          </w:p>
        </w:tc>
      </w:tr>
      <w:tr w:rsidR="004A58F7" w:rsidTr="00252685">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rPr>
                <w:rFonts w:ascii="Arial" w:hAnsi="Arial" w:cs="Arial"/>
                <w:sz w:val="22"/>
                <w:szCs w:val="22"/>
              </w:rPr>
            </w:pPr>
            <w:r>
              <w:rPr>
                <w:rFonts w:ascii="Arial" w:hAnsi="Arial" w:cs="Arial"/>
                <w:i/>
                <w:iCs/>
                <w:sz w:val="22"/>
                <w:szCs w:val="22"/>
              </w:rPr>
              <w:t>Voir Dire</w:t>
            </w:r>
            <w:r>
              <w:rPr>
                <w:rFonts w:ascii="Arial" w:hAnsi="Arial" w:cs="Arial"/>
                <w:sz w:val="22"/>
                <w:szCs w:val="22"/>
              </w:rPr>
              <w:t xml:space="preserve"> Exchange</w:t>
            </w:r>
          </w:p>
        </w:tc>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jc w:val="center"/>
              <w:rPr>
                <w:rFonts w:ascii="Arial" w:hAnsi="Arial" w:cs="Arial"/>
                <w:sz w:val="22"/>
                <w:szCs w:val="22"/>
              </w:rPr>
            </w:pPr>
            <w:r>
              <w:rPr>
                <w:rFonts w:ascii="Arial" w:hAnsi="Arial" w:cs="Arial"/>
                <w:sz w:val="22"/>
                <w:szCs w:val="22"/>
              </w:rPr>
              <w:t xml:space="preserve">Five (5) working days </w:t>
            </w:r>
          </w:p>
          <w:p w:rsidR="004A58F7" w:rsidRDefault="004A58F7">
            <w:pPr>
              <w:spacing w:after="58"/>
              <w:jc w:val="center"/>
              <w:rPr>
                <w:rFonts w:ascii="Arial" w:hAnsi="Arial" w:cs="Arial"/>
                <w:sz w:val="22"/>
                <w:szCs w:val="22"/>
              </w:rPr>
            </w:pPr>
            <w:r>
              <w:rPr>
                <w:rFonts w:ascii="Arial" w:hAnsi="Arial" w:cs="Arial"/>
                <w:sz w:val="22"/>
                <w:szCs w:val="22"/>
              </w:rPr>
              <w:t>before trial</w:t>
            </w:r>
          </w:p>
        </w:tc>
        <w:tc>
          <w:tcPr>
            <w:tcW w:w="4140" w:type="dxa"/>
            <w:vMerge w:val="restart"/>
            <w:tcBorders>
              <w:top w:val="single" w:sz="7" w:space="0" w:color="000000"/>
              <w:left w:val="single" w:sz="7" w:space="0" w:color="000000"/>
              <w:bottom w:val="nil"/>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jc w:val="both"/>
              <w:rPr>
                <w:rFonts w:ascii="Arial" w:hAnsi="Arial" w:cs="Arial"/>
                <w:sz w:val="22"/>
                <w:szCs w:val="22"/>
              </w:rPr>
            </w:pPr>
            <w:r>
              <w:rPr>
                <w:rFonts w:ascii="Arial" w:hAnsi="Arial" w:cs="Arial"/>
                <w:sz w:val="22"/>
                <w:szCs w:val="22"/>
              </w:rPr>
              <w:t xml:space="preserve">In the average case, each counsel will be permitted fifteen (15) minutes to </w:t>
            </w:r>
            <w:r>
              <w:rPr>
                <w:rFonts w:ascii="Arial" w:hAnsi="Arial" w:cs="Arial"/>
                <w:i/>
                <w:iCs/>
                <w:sz w:val="22"/>
                <w:szCs w:val="22"/>
              </w:rPr>
              <w:t>voir dire</w:t>
            </w:r>
            <w:r>
              <w:rPr>
                <w:rFonts w:ascii="Arial" w:hAnsi="Arial" w:cs="Arial"/>
                <w:sz w:val="22"/>
                <w:szCs w:val="22"/>
              </w:rPr>
              <w:t xml:space="preserve"> the venire panel. </w:t>
            </w:r>
            <w:r>
              <w:rPr>
                <w:rFonts w:ascii="Arial" w:hAnsi="Arial" w:cs="Arial"/>
                <w:b/>
                <w:bCs/>
                <w:sz w:val="22"/>
                <w:szCs w:val="22"/>
              </w:rPr>
              <w:t xml:space="preserve"> Do not argue the case or cite legal principles in your voir dire</w:t>
            </w:r>
            <w:r>
              <w:rPr>
                <w:rFonts w:ascii="Arial" w:hAnsi="Arial" w:cs="Arial"/>
                <w:sz w:val="22"/>
                <w:szCs w:val="22"/>
              </w:rPr>
              <w:t xml:space="preserve">. Requested </w:t>
            </w:r>
            <w:r>
              <w:rPr>
                <w:rFonts w:ascii="Arial" w:hAnsi="Arial" w:cs="Arial"/>
                <w:i/>
                <w:iCs/>
                <w:sz w:val="22"/>
                <w:szCs w:val="22"/>
              </w:rPr>
              <w:t>voir dire</w:t>
            </w:r>
            <w:r>
              <w:rPr>
                <w:rFonts w:ascii="Arial" w:hAnsi="Arial" w:cs="Arial"/>
                <w:sz w:val="22"/>
                <w:szCs w:val="22"/>
              </w:rPr>
              <w:t xml:space="preserve"> shall be exchanged between counsel and filed with the Court by the deadline contained herein.  If counsel cannot agree on proposed </w:t>
            </w:r>
            <w:r>
              <w:rPr>
                <w:rFonts w:ascii="Arial" w:hAnsi="Arial" w:cs="Arial"/>
                <w:i/>
                <w:iCs/>
                <w:sz w:val="22"/>
                <w:szCs w:val="22"/>
              </w:rPr>
              <w:t>voir dire</w:t>
            </w:r>
            <w:r>
              <w:rPr>
                <w:rFonts w:ascii="Arial" w:hAnsi="Arial" w:cs="Arial"/>
                <w:sz w:val="22"/>
                <w:szCs w:val="22"/>
              </w:rPr>
              <w:t>, any objections must be filed at least three (3) working days prior to trial.</w:t>
            </w:r>
          </w:p>
        </w:tc>
      </w:tr>
      <w:tr w:rsidR="004A58F7" w:rsidTr="00252685">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rPr>
                <w:rFonts w:ascii="Arial" w:hAnsi="Arial" w:cs="Arial"/>
                <w:sz w:val="22"/>
                <w:szCs w:val="22"/>
              </w:rPr>
            </w:pPr>
            <w:r>
              <w:rPr>
                <w:rFonts w:ascii="Arial" w:hAnsi="Arial" w:cs="Arial"/>
                <w:sz w:val="22"/>
                <w:szCs w:val="22"/>
              </w:rPr>
              <w:t>Objections to Opponent</w:t>
            </w:r>
            <w:r>
              <w:rPr>
                <w:rFonts w:ascii="Arial" w:hAnsi="Arial" w:cs="Arial"/>
                <w:sz w:val="22"/>
                <w:szCs w:val="22"/>
              </w:rPr>
              <w:sym w:font="WP TypographicSymbols" w:char="003D"/>
            </w:r>
            <w:r>
              <w:rPr>
                <w:rFonts w:ascii="Arial" w:hAnsi="Arial" w:cs="Arial"/>
                <w:sz w:val="22"/>
                <w:szCs w:val="22"/>
              </w:rPr>
              <w:t xml:space="preserve">s </w:t>
            </w:r>
            <w:r>
              <w:rPr>
                <w:rFonts w:ascii="Arial" w:hAnsi="Arial" w:cs="Arial"/>
                <w:i/>
                <w:iCs/>
                <w:sz w:val="22"/>
                <w:szCs w:val="22"/>
              </w:rPr>
              <w:t>Voir Dire</w:t>
            </w:r>
          </w:p>
        </w:tc>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jc w:val="center"/>
              <w:rPr>
                <w:rFonts w:ascii="Arial" w:hAnsi="Arial" w:cs="Arial"/>
                <w:sz w:val="22"/>
                <w:szCs w:val="22"/>
              </w:rPr>
            </w:pPr>
            <w:r>
              <w:rPr>
                <w:rFonts w:ascii="Arial" w:hAnsi="Arial" w:cs="Arial"/>
                <w:sz w:val="22"/>
                <w:szCs w:val="22"/>
              </w:rPr>
              <w:t xml:space="preserve">Three (3) working days </w:t>
            </w:r>
          </w:p>
          <w:p w:rsidR="004A58F7" w:rsidRDefault="004A58F7">
            <w:pPr>
              <w:spacing w:after="58"/>
              <w:jc w:val="center"/>
              <w:rPr>
                <w:rFonts w:ascii="Arial" w:hAnsi="Arial" w:cs="Arial"/>
                <w:sz w:val="22"/>
                <w:szCs w:val="22"/>
              </w:rPr>
            </w:pPr>
            <w:r>
              <w:rPr>
                <w:rFonts w:ascii="Arial" w:hAnsi="Arial" w:cs="Arial"/>
                <w:sz w:val="22"/>
                <w:szCs w:val="22"/>
              </w:rPr>
              <w:t>before trial</w:t>
            </w:r>
          </w:p>
        </w:tc>
        <w:tc>
          <w:tcPr>
            <w:tcW w:w="4140" w:type="dxa"/>
            <w:vMerge/>
            <w:tcBorders>
              <w:top w:val="nil"/>
              <w:left w:val="single" w:sz="7" w:space="0" w:color="000000"/>
              <w:bottom w:val="single" w:sz="7" w:space="0" w:color="000000"/>
              <w:right w:val="single" w:sz="7" w:space="0" w:color="000000"/>
            </w:tcBorders>
          </w:tcPr>
          <w:p w:rsidR="004A58F7" w:rsidRDefault="004A58F7">
            <w:pPr>
              <w:spacing w:after="58"/>
              <w:jc w:val="both"/>
              <w:rPr>
                <w:rFonts w:ascii="Arial" w:hAnsi="Arial" w:cs="Arial"/>
                <w:sz w:val="22"/>
                <w:szCs w:val="22"/>
              </w:rPr>
            </w:pPr>
          </w:p>
        </w:tc>
      </w:tr>
      <w:tr w:rsidR="004A58F7" w:rsidTr="00252685">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pPr>
              <w:spacing w:after="58"/>
              <w:rPr>
                <w:rFonts w:ascii="Arial" w:hAnsi="Arial" w:cs="Arial"/>
                <w:sz w:val="22"/>
                <w:szCs w:val="22"/>
              </w:rPr>
            </w:pPr>
            <w:r>
              <w:rPr>
                <w:rFonts w:ascii="Arial" w:hAnsi="Arial" w:cs="Arial"/>
                <w:sz w:val="22"/>
                <w:szCs w:val="22"/>
              </w:rPr>
              <w:t>Courtesy Copies of Exhibits for the Court</w:t>
            </w:r>
          </w:p>
        </w:tc>
        <w:tc>
          <w:tcPr>
            <w:tcW w:w="297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1C45D7">
            <w:pPr>
              <w:spacing w:after="58"/>
              <w:jc w:val="center"/>
              <w:rPr>
                <w:rFonts w:ascii="Arial" w:hAnsi="Arial" w:cs="Arial"/>
                <w:sz w:val="22"/>
                <w:szCs w:val="22"/>
              </w:rPr>
            </w:pPr>
            <w:r>
              <w:rPr>
                <w:rFonts w:ascii="Arial" w:hAnsi="Arial" w:cs="Arial"/>
                <w:sz w:val="22"/>
                <w:szCs w:val="22"/>
              </w:rPr>
              <w:t>Twenty-five (25) days before trial</w:t>
            </w:r>
          </w:p>
        </w:tc>
        <w:tc>
          <w:tcPr>
            <w:tcW w:w="4140" w:type="dxa"/>
            <w:tcBorders>
              <w:top w:val="single" w:sz="7" w:space="0" w:color="000000"/>
              <w:left w:val="single" w:sz="7" w:space="0" w:color="000000"/>
              <w:bottom w:val="single" w:sz="7" w:space="0" w:color="000000"/>
              <w:right w:val="single" w:sz="7" w:space="0" w:color="000000"/>
            </w:tcBorders>
          </w:tcPr>
          <w:p w:rsidR="004A58F7" w:rsidRDefault="004A58F7">
            <w:pPr>
              <w:spacing w:line="120" w:lineRule="exact"/>
              <w:rPr>
                <w:rFonts w:ascii="Arial" w:hAnsi="Arial" w:cs="Arial"/>
                <w:sz w:val="22"/>
                <w:szCs w:val="22"/>
              </w:rPr>
            </w:pPr>
          </w:p>
          <w:p w:rsidR="004A58F7" w:rsidRDefault="004A58F7" w:rsidP="007C1D19">
            <w:pPr>
              <w:spacing w:after="58"/>
              <w:jc w:val="both"/>
              <w:rPr>
                <w:rFonts w:ascii="Arial" w:hAnsi="Arial" w:cs="Arial"/>
                <w:sz w:val="22"/>
                <w:szCs w:val="22"/>
              </w:rPr>
            </w:pPr>
            <w:r>
              <w:rPr>
                <w:rFonts w:ascii="Arial" w:hAnsi="Arial" w:cs="Arial"/>
                <w:sz w:val="22"/>
                <w:szCs w:val="22"/>
              </w:rPr>
              <w:t xml:space="preserve">The parties shall submit two (2) complete, numbered or lettered courtesy copies of exhibits, in notebooks, to the Court at the </w:t>
            </w:r>
            <w:r w:rsidR="007C1D19">
              <w:rPr>
                <w:rFonts w:ascii="Arial" w:hAnsi="Arial" w:cs="Arial"/>
                <w:sz w:val="22"/>
                <w:szCs w:val="22"/>
              </w:rPr>
              <w:t xml:space="preserve">pre-trial conference </w:t>
            </w:r>
            <w:r>
              <w:rPr>
                <w:rFonts w:ascii="Arial" w:hAnsi="Arial" w:cs="Arial"/>
                <w:sz w:val="22"/>
                <w:szCs w:val="22"/>
              </w:rPr>
              <w:t>and shall use the ELMO for the presentation of exhibits during trial.</w:t>
            </w:r>
          </w:p>
        </w:tc>
      </w:tr>
    </w:tbl>
    <w:p w:rsidR="004A58F7" w:rsidRDefault="004A58F7">
      <w:pPr>
        <w:ind w:left="-720"/>
        <w:rPr>
          <w:rFonts w:ascii="Arial" w:hAnsi="Arial" w:cs="Arial"/>
        </w:rPr>
      </w:pPr>
    </w:p>
    <w:p w:rsidR="004A58F7" w:rsidRDefault="004A58F7">
      <w:pPr>
        <w:tabs>
          <w:tab w:val="center" w:pos="4365"/>
        </w:tabs>
        <w:ind w:left="-720"/>
        <w:rPr>
          <w:rFonts w:ascii="Arial" w:hAnsi="Arial" w:cs="Arial"/>
        </w:rPr>
      </w:pPr>
      <w:r>
        <w:rPr>
          <w:rFonts w:ascii="Arial" w:hAnsi="Arial" w:cs="Arial"/>
        </w:rPr>
        <w:tab/>
      </w:r>
    </w:p>
    <w:p w:rsidR="004A58F7" w:rsidRDefault="004A58F7">
      <w:pPr>
        <w:ind w:left="-720"/>
        <w:rPr>
          <w:rFonts w:ascii="Arial" w:hAnsi="Arial" w:cs="Arial"/>
        </w:rPr>
      </w:pPr>
    </w:p>
    <w:p w:rsidR="004A58F7" w:rsidRDefault="004A58F7">
      <w:pPr>
        <w:ind w:left="-720"/>
        <w:rPr>
          <w:rFonts w:ascii="Arial" w:hAnsi="Arial" w:cs="Arial"/>
        </w:rPr>
      </w:pPr>
    </w:p>
    <w:p w:rsidR="004A58F7" w:rsidRDefault="004A58F7">
      <w:pPr>
        <w:ind w:left="-720"/>
        <w:rPr>
          <w:rFonts w:ascii="Arial" w:hAnsi="Arial" w:cs="Arial"/>
        </w:rPr>
      </w:pPr>
    </w:p>
    <w:p w:rsidR="004A58F7" w:rsidRDefault="004A58F7">
      <w:pPr>
        <w:ind w:left="-720"/>
        <w:rPr>
          <w:rFonts w:ascii="CG Times" w:hAnsi="CG Times" w:cs="CG Times"/>
          <w:sz w:val="20"/>
          <w:szCs w:val="20"/>
          <w:u w:val="single"/>
        </w:rPr>
        <w:sectPr w:rsidR="004A58F7">
          <w:headerReference w:type="default" r:id="rId9"/>
          <w:pgSz w:w="12240" w:h="15840"/>
          <w:pgMar w:top="864" w:right="1440" w:bottom="540" w:left="1350" w:header="864" w:footer="540" w:gutter="0"/>
          <w:cols w:space="720"/>
          <w:noEndnote/>
        </w:sectPr>
      </w:pPr>
    </w:p>
    <w:p w:rsidR="004A58F7" w:rsidRDefault="004A58F7">
      <w:pPr>
        <w:widowControl/>
        <w:ind w:left="-720"/>
        <w:jc w:val="center"/>
        <w:rPr>
          <w:rFonts w:ascii="Times New Roman" w:hAnsi="Times New Roman" w:cs="Times New Roman"/>
          <w:sz w:val="48"/>
          <w:szCs w:val="48"/>
          <w:u w:val="double"/>
        </w:rPr>
      </w:pPr>
    </w:p>
    <w:sectPr w:rsidR="004A58F7" w:rsidSect="004A58F7">
      <w:headerReference w:type="default" r:id="rId10"/>
      <w:footerReference w:type="default" r:id="rId11"/>
      <w:type w:val="continuous"/>
      <w:pgSz w:w="12240" w:h="15840"/>
      <w:pgMar w:top="864" w:right="1440" w:bottom="630" w:left="630" w:header="864" w:footer="63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5D7" w:rsidRDefault="001C45D7" w:rsidP="004A58F7">
      <w:r>
        <w:separator/>
      </w:r>
    </w:p>
  </w:endnote>
  <w:endnote w:type="continuationSeparator" w:id="0">
    <w:p w:rsidR="001C45D7" w:rsidRDefault="001C45D7" w:rsidP="004A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IconicSymbols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5D7" w:rsidRDefault="001C45D7">
    <w:pPr>
      <w:spacing w:line="72" w:lineRule="exact"/>
    </w:pPr>
  </w:p>
  <w:p w:rsidR="001C45D7" w:rsidRDefault="001C45D7">
    <w:pPr>
      <w:framePr w:w="9451" w:wrap="notBeside" w:vAnchor="text" w:hAnchor="text" w:x="1" w:y="1"/>
      <w:jc w:val="center"/>
    </w:pPr>
    <w:r>
      <w:fldChar w:fldCharType="begin"/>
    </w:r>
    <w:r>
      <w:instrText xml:space="preserve">PAGE </w:instrText>
    </w:r>
    <w:r>
      <w:fldChar w:fldCharType="separate"/>
    </w:r>
    <w:r>
      <w:rPr>
        <w:noProof/>
      </w:rPr>
      <w:t>5</w:t>
    </w:r>
    <w:r>
      <w:fldChar w:fldCharType="end"/>
    </w:r>
  </w:p>
  <w:p w:rsidR="001C45D7" w:rsidRDefault="001C45D7">
    <w:pPr>
      <w:ind w:left="90"/>
      <w:rPr>
        <w:rFonts w:cs="Courier"/>
      </w:rPr>
    </w:pPr>
    <w:r>
      <w:rPr>
        <w:rFonts w:cs="Courier"/>
        <w:b/>
        <w:bCs/>
        <w:i/>
        <w:iCs/>
        <w:sz w:val="20"/>
        <w:szCs w:val="20"/>
      </w:rPr>
      <w:t>Revised 7/19/11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5D7" w:rsidRDefault="001C45D7" w:rsidP="004A58F7">
      <w:r>
        <w:separator/>
      </w:r>
    </w:p>
  </w:footnote>
  <w:footnote w:type="continuationSeparator" w:id="0">
    <w:p w:rsidR="001C45D7" w:rsidRDefault="001C45D7" w:rsidP="004A5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5D7" w:rsidRDefault="001C45D7">
    <w:pPr>
      <w:jc w:val="center"/>
      <w:rPr>
        <w:rFonts w:ascii="Shruti" w:hAnsi="Shruti" w:cs="Shruti"/>
        <w:b/>
        <w:bCs/>
      </w:rPr>
    </w:pPr>
    <w:r>
      <w:rPr>
        <w:rFonts w:ascii="Shruti" w:hAnsi="Shruti" w:cs="Shruti"/>
        <w:b/>
        <w:bCs/>
        <w:sz w:val="32"/>
        <w:szCs w:val="32"/>
      </w:rPr>
      <w:t>PRETRIAL DEADLINES FOR CIVIL CASES</w:t>
    </w:r>
  </w:p>
  <w:p w:rsidR="001C45D7" w:rsidRDefault="001C45D7">
    <w:pPr>
      <w:jc w:val="center"/>
      <w:rPr>
        <w:rFonts w:ascii="Shruti" w:hAnsi="Shruti" w:cs="Shruti"/>
      </w:rPr>
    </w:pPr>
    <w:r>
      <w:rPr>
        <w:rFonts w:ascii="Shruti" w:hAnsi="Shruti" w:cs="Shruti"/>
        <w:b/>
        <w:bCs/>
      </w:rPr>
      <w:t>Before the Honorable Martha Vázquez</w:t>
    </w:r>
  </w:p>
  <w:p w:rsidR="001C45D7" w:rsidRDefault="001C45D7">
    <w:pPr>
      <w:jc w:val="both"/>
      <w:rPr>
        <w:rFonts w:cs="Courier"/>
      </w:rPr>
    </w:pPr>
  </w:p>
  <w:p w:rsidR="001C45D7" w:rsidRDefault="001C45D7">
    <w:pPr>
      <w:rPr>
        <w:rFonts w:cs="Couri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5D7" w:rsidRDefault="001C45D7" w:rsidP="00BD265D">
    <w:pPr>
      <w:ind w:left="-720"/>
      <w:rPr>
        <w:rFonts w:cs="Couri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0280CE2"/>
    <w:lvl w:ilvl="0">
      <w:numFmt w:val="bullet"/>
      <w:lvlText w:val="*"/>
      <w:lvlJc w:val="left"/>
    </w:lvl>
  </w:abstractNum>
  <w:abstractNum w:abstractNumId="1">
    <w:nsid w:val="00000001"/>
    <w:multiLevelType w:val="multilevel"/>
    <w:tmpl w:val="00000000"/>
    <w:name w:val="AutoList4"/>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2">
    <w:nsid w:val="00000002"/>
    <w:multiLevelType w:val="multilevel"/>
    <w:tmpl w:val="00000000"/>
    <w:name w:val="AutoList4"/>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0" w:hanging="720"/>
        </w:pPr>
        <w:rPr>
          <w:rFonts w:ascii="WP IconicSymbolsA" w:hAnsi="WP IconicSymbols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8F7"/>
    <w:rsid w:val="00176EBC"/>
    <w:rsid w:val="001C45D7"/>
    <w:rsid w:val="00240358"/>
    <w:rsid w:val="00252685"/>
    <w:rsid w:val="002E04AC"/>
    <w:rsid w:val="002F05D2"/>
    <w:rsid w:val="003B3DAC"/>
    <w:rsid w:val="00404254"/>
    <w:rsid w:val="00453570"/>
    <w:rsid w:val="004A58F7"/>
    <w:rsid w:val="004B336D"/>
    <w:rsid w:val="00567CBE"/>
    <w:rsid w:val="005C3163"/>
    <w:rsid w:val="006E45AF"/>
    <w:rsid w:val="00782268"/>
    <w:rsid w:val="007C1D19"/>
    <w:rsid w:val="008224DB"/>
    <w:rsid w:val="009310EE"/>
    <w:rsid w:val="00B86179"/>
    <w:rsid w:val="00BB57CD"/>
    <w:rsid w:val="00BD265D"/>
    <w:rsid w:val="00C642BF"/>
    <w:rsid w:val="00E803C3"/>
    <w:rsid w:val="00F2413C"/>
    <w:rsid w:val="00F569D6"/>
    <w:rsid w:val="00FB6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685"/>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customStyle="1" w:styleId="Level1">
    <w:name w:val="Level 1"/>
    <w:basedOn w:val="Normal"/>
    <w:uiPriority w:val="99"/>
    <w:pPr>
      <w:ind w:left="720" w:hanging="720"/>
    </w:pPr>
  </w:style>
  <w:style w:type="paragraph" w:styleId="Header">
    <w:name w:val="header"/>
    <w:basedOn w:val="Normal"/>
    <w:link w:val="HeaderChar"/>
    <w:uiPriority w:val="99"/>
    <w:unhideWhenUsed/>
    <w:rsid w:val="00F2413C"/>
    <w:pPr>
      <w:tabs>
        <w:tab w:val="center" w:pos="4680"/>
        <w:tab w:val="right" w:pos="9360"/>
      </w:tabs>
    </w:pPr>
  </w:style>
  <w:style w:type="character" w:customStyle="1" w:styleId="HeaderChar">
    <w:name w:val="Header Char"/>
    <w:basedOn w:val="DefaultParagraphFont"/>
    <w:link w:val="Header"/>
    <w:uiPriority w:val="99"/>
    <w:rsid w:val="00F2413C"/>
    <w:rPr>
      <w:rFonts w:ascii="Courier" w:hAnsi="Courier"/>
      <w:sz w:val="24"/>
      <w:szCs w:val="24"/>
    </w:rPr>
  </w:style>
  <w:style w:type="paragraph" w:styleId="Footer">
    <w:name w:val="footer"/>
    <w:basedOn w:val="Normal"/>
    <w:link w:val="FooterChar"/>
    <w:uiPriority w:val="99"/>
    <w:unhideWhenUsed/>
    <w:rsid w:val="00F2413C"/>
    <w:pPr>
      <w:tabs>
        <w:tab w:val="center" w:pos="4680"/>
        <w:tab w:val="right" w:pos="9360"/>
      </w:tabs>
    </w:pPr>
  </w:style>
  <w:style w:type="character" w:customStyle="1" w:styleId="FooterChar">
    <w:name w:val="Footer Char"/>
    <w:basedOn w:val="DefaultParagraphFont"/>
    <w:link w:val="Footer"/>
    <w:uiPriority w:val="99"/>
    <w:rsid w:val="00F2413C"/>
    <w:rPr>
      <w:rFonts w:ascii="Courier" w:hAnsi="Courier"/>
      <w:sz w:val="24"/>
      <w:szCs w:val="24"/>
    </w:rPr>
  </w:style>
  <w:style w:type="paragraph" w:styleId="BalloonText">
    <w:name w:val="Balloon Text"/>
    <w:basedOn w:val="Normal"/>
    <w:link w:val="BalloonTextChar"/>
    <w:uiPriority w:val="99"/>
    <w:semiHidden/>
    <w:unhideWhenUsed/>
    <w:rsid w:val="006E45AF"/>
    <w:rPr>
      <w:rFonts w:ascii="Tahoma" w:hAnsi="Tahoma" w:cs="Tahoma"/>
      <w:sz w:val="16"/>
      <w:szCs w:val="16"/>
    </w:rPr>
  </w:style>
  <w:style w:type="character" w:customStyle="1" w:styleId="BalloonTextChar">
    <w:name w:val="Balloon Text Char"/>
    <w:basedOn w:val="DefaultParagraphFont"/>
    <w:link w:val="BalloonText"/>
    <w:uiPriority w:val="99"/>
    <w:semiHidden/>
    <w:rsid w:val="006E45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685"/>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customStyle="1" w:styleId="Level1">
    <w:name w:val="Level 1"/>
    <w:basedOn w:val="Normal"/>
    <w:uiPriority w:val="99"/>
    <w:pPr>
      <w:ind w:left="720" w:hanging="720"/>
    </w:pPr>
  </w:style>
  <w:style w:type="paragraph" w:styleId="Header">
    <w:name w:val="header"/>
    <w:basedOn w:val="Normal"/>
    <w:link w:val="HeaderChar"/>
    <w:uiPriority w:val="99"/>
    <w:unhideWhenUsed/>
    <w:rsid w:val="00F2413C"/>
    <w:pPr>
      <w:tabs>
        <w:tab w:val="center" w:pos="4680"/>
        <w:tab w:val="right" w:pos="9360"/>
      </w:tabs>
    </w:pPr>
  </w:style>
  <w:style w:type="character" w:customStyle="1" w:styleId="HeaderChar">
    <w:name w:val="Header Char"/>
    <w:basedOn w:val="DefaultParagraphFont"/>
    <w:link w:val="Header"/>
    <w:uiPriority w:val="99"/>
    <w:rsid w:val="00F2413C"/>
    <w:rPr>
      <w:rFonts w:ascii="Courier" w:hAnsi="Courier"/>
      <w:sz w:val="24"/>
      <w:szCs w:val="24"/>
    </w:rPr>
  </w:style>
  <w:style w:type="paragraph" w:styleId="Footer">
    <w:name w:val="footer"/>
    <w:basedOn w:val="Normal"/>
    <w:link w:val="FooterChar"/>
    <w:uiPriority w:val="99"/>
    <w:unhideWhenUsed/>
    <w:rsid w:val="00F2413C"/>
    <w:pPr>
      <w:tabs>
        <w:tab w:val="center" w:pos="4680"/>
        <w:tab w:val="right" w:pos="9360"/>
      </w:tabs>
    </w:pPr>
  </w:style>
  <w:style w:type="character" w:customStyle="1" w:styleId="FooterChar">
    <w:name w:val="Footer Char"/>
    <w:basedOn w:val="DefaultParagraphFont"/>
    <w:link w:val="Footer"/>
    <w:uiPriority w:val="99"/>
    <w:rsid w:val="00F2413C"/>
    <w:rPr>
      <w:rFonts w:ascii="Courier" w:hAnsi="Courier"/>
      <w:sz w:val="24"/>
      <w:szCs w:val="24"/>
    </w:rPr>
  </w:style>
  <w:style w:type="paragraph" w:styleId="BalloonText">
    <w:name w:val="Balloon Text"/>
    <w:basedOn w:val="Normal"/>
    <w:link w:val="BalloonTextChar"/>
    <w:uiPriority w:val="99"/>
    <w:semiHidden/>
    <w:unhideWhenUsed/>
    <w:rsid w:val="006E45AF"/>
    <w:rPr>
      <w:rFonts w:ascii="Tahoma" w:hAnsi="Tahoma" w:cs="Tahoma"/>
      <w:sz w:val="16"/>
      <w:szCs w:val="16"/>
    </w:rPr>
  </w:style>
  <w:style w:type="character" w:customStyle="1" w:styleId="BalloonTextChar">
    <w:name w:val="Balloon Text Char"/>
    <w:basedOn w:val="DefaultParagraphFont"/>
    <w:link w:val="BalloonText"/>
    <w:uiPriority w:val="99"/>
    <w:semiHidden/>
    <w:rsid w:val="006E4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3840F-9CF2-40AC-9CBF-03689322F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5349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Nichole Gassner</cp:lastModifiedBy>
  <cp:revision>2</cp:revision>
  <dcterms:created xsi:type="dcterms:W3CDTF">2014-10-30T16:52:00Z</dcterms:created>
  <dcterms:modified xsi:type="dcterms:W3CDTF">2014-10-30T16:52:00Z</dcterms:modified>
</cp:coreProperties>
</file>